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D3F" w:rsidRPr="00F42F65" w:rsidRDefault="00AB7D3F" w:rsidP="00AB7D3F">
      <w:pPr>
        <w:tabs>
          <w:tab w:val="left" w:pos="1440"/>
        </w:tabs>
        <w:jc w:val="center"/>
        <w:rPr>
          <w:rFonts w:ascii="Arial" w:hAnsi="Arial" w:cs="Arial"/>
          <w:b/>
          <w:sz w:val="22"/>
          <w:szCs w:val="22"/>
          <w:u w:val="single"/>
        </w:rPr>
      </w:pPr>
      <w:r w:rsidRPr="00F42F65">
        <w:rPr>
          <w:rFonts w:ascii="Arial" w:hAnsi="Arial" w:cs="Arial"/>
          <w:b/>
          <w:sz w:val="22"/>
          <w:szCs w:val="22"/>
          <w:u w:val="single"/>
        </w:rPr>
        <w:t>Memorandum</w:t>
      </w:r>
    </w:p>
    <w:p w:rsidR="00AB7D3F" w:rsidRPr="00F42F65" w:rsidRDefault="00AB7D3F" w:rsidP="00AB7D3F">
      <w:pPr>
        <w:tabs>
          <w:tab w:val="left" w:pos="1440"/>
        </w:tabs>
        <w:rPr>
          <w:rFonts w:ascii="Arial" w:hAnsi="Arial" w:cs="Arial"/>
          <w:b/>
          <w:sz w:val="22"/>
          <w:szCs w:val="22"/>
        </w:rPr>
      </w:pPr>
    </w:p>
    <w:p w:rsidR="00AB7D3F" w:rsidRPr="00F42F65" w:rsidRDefault="00AB7D3F" w:rsidP="00AB7D3F">
      <w:pPr>
        <w:tabs>
          <w:tab w:val="left" w:pos="1440"/>
        </w:tabs>
        <w:rPr>
          <w:rFonts w:ascii="Arial" w:hAnsi="Arial" w:cs="Arial"/>
          <w:b/>
          <w:sz w:val="22"/>
          <w:szCs w:val="22"/>
        </w:rPr>
      </w:pPr>
    </w:p>
    <w:p w:rsidR="00AB7D3F" w:rsidRPr="00F42F65" w:rsidRDefault="00AB7D3F" w:rsidP="00AB7D3F">
      <w:pPr>
        <w:tabs>
          <w:tab w:val="left" w:pos="1440"/>
        </w:tabs>
        <w:rPr>
          <w:rFonts w:ascii="Arial" w:hAnsi="Arial" w:cs="Arial"/>
          <w:b/>
          <w:sz w:val="22"/>
          <w:szCs w:val="22"/>
        </w:rPr>
      </w:pPr>
      <w:r w:rsidRPr="00F42F65">
        <w:rPr>
          <w:rFonts w:ascii="Arial" w:hAnsi="Arial" w:cs="Arial"/>
          <w:b/>
          <w:sz w:val="22"/>
          <w:szCs w:val="22"/>
        </w:rPr>
        <w:t>Date:</w:t>
      </w:r>
      <w:r w:rsidRPr="00F42F65">
        <w:rPr>
          <w:rFonts w:ascii="Arial" w:hAnsi="Arial" w:cs="Arial"/>
          <w:b/>
          <w:sz w:val="22"/>
          <w:szCs w:val="22"/>
        </w:rPr>
        <w:tab/>
      </w:r>
      <w:r w:rsidR="004E6B87">
        <w:rPr>
          <w:rFonts w:ascii="Arial" w:hAnsi="Arial" w:cs="Arial"/>
          <w:b/>
          <w:sz w:val="22"/>
          <w:szCs w:val="22"/>
        </w:rPr>
        <w:t>May 3</w:t>
      </w:r>
      <w:r w:rsidR="009E54AE">
        <w:rPr>
          <w:rFonts w:ascii="Arial" w:hAnsi="Arial" w:cs="Arial"/>
          <w:b/>
          <w:sz w:val="22"/>
          <w:szCs w:val="22"/>
        </w:rPr>
        <w:t>, 2013</w:t>
      </w:r>
      <w:r w:rsidRPr="00F42F65">
        <w:rPr>
          <w:rFonts w:ascii="Arial" w:hAnsi="Arial" w:cs="Arial"/>
          <w:b/>
          <w:sz w:val="22"/>
          <w:szCs w:val="22"/>
        </w:rPr>
        <w:t xml:space="preserve"> </w:t>
      </w:r>
    </w:p>
    <w:p w:rsidR="00AB7D3F" w:rsidRPr="00F42F65" w:rsidRDefault="00AB7D3F" w:rsidP="00AB7D3F">
      <w:pPr>
        <w:tabs>
          <w:tab w:val="left" w:pos="0"/>
        </w:tabs>
        <w:rPr>
          <w:rFonts w:ascii="Arial" w:hAnsi="Arial" w:cs="Arial"/>
          <w:b/>
          <w:sz w:val="22"/>
          <w:szCs w:val="22"/>
        </w:rPr>
      </w:pPr>
    </w:p>
    <w:p w:rsidR="00AB7D3F" w:rsidRPr="00F42F65" w:rsidRDefault="00AB7D3F" w:rsidP="00AB7D3F">
      <w:pPr>
        <w:tabs>
          <w:tab w:val="left" w:pos="0"/>
        </w:tabs>
        <w:rPr>
          <w:rFonts w:ascii="Arial" w:hAnsi="Arial" w:cs="Arial"/>
          <w:b/>
          <w:sz w:val="22"/>
          <w:szCs w:val="22"/>
        </w:rPr>
      </w:pPr>
      <w:r w:rsidRPr="00F42F65">
        <w:rPr>
          <w:rFonts w:ascii="Arial" w:hAnsi="Arial" w:cs="Arial"/>
          <w:b/>
          <w:sz w:val="22"/>
          <w:szCs w:val="22"/>
        </w:rPr>
        <w:t>To:</w:t>
      </w:r>
      <w:r w:rsidRPr="00F42F65">
        <w:rPr>
          <w:rFonts w:ascii="Arial" w:hAnsi="Arial" w:cs="Arial"/>
          <w:b/>
          <w:sz w:val="22"/>
          <w:szCs w:val="22"/>
        </w:rPr>
        <w:tab/>
      </w:r>
      <w:r w:rsidRPr="00F42F65">
        <w:rPr>
          <w:rFonts w:ascii="Arial" w:hAnsi="Arial" w:cs="Arial"/>
          <w:b/>
          <w:sz w:val="22"/>
          <w:szCs w:val="22"/>
        </w:rPr>
        <w:tab/>
        <w:t>C</w:t>
      </w:r>
      <w:r w:rsidR="00BF61E0">
        <w:rPr>
          <w:rFonts w:ascii="Arial" w:hAnsi="Arial" w:cs="Arial"/>
          <w:b/>
          <w:sz w:val="22"/>
          <w:szCs w:val="22"/>
        </w:rPr>
        <w:t>ASFAA</w:t>
      </w:r>
      <w:r w:rsidRPr="00F42F65">
        <w:rPr>
          <w:rFonts w:ascii="Arial" w:hAnsi="Arial" w:cs="Arial"/>
          <w:b/>
          <w:sz w:val="22"/>
          <w:szCs w:val="22"/>
        </w:rPr>
        <w:t xml:space="preserve"> Executive </w:t>
      </w:r>
      <w:r w:rsidR="00BF61E0">
        <w:rPr>
          <w:rFonts w:ascii="Arial" w:hAnsi="Arial" w:cs="Arial"/>
          <w:b/>
          <w:sz w:val="22"/>
          <w:szCs w:val="22"/>
        </w:rPr>
        <w:t>Council</w:t>
      </w:r>
    </w:p>
    <w:p w:rsidR="00AB7D3F" w:rsidRPr="00F42F65" w:rsidRDefault="00AB7D3F" w:rsidP="00AB7D3F">
      <w:pPr>
        <w:tabs>
          <w:tab w:val="left" w:pos="1440"/>
        </w:tabs>
        <w:rPr>
          <w:rFonts w:ascii="Arial" w:hAnsi="Arial" w:cs="Arial"/>
          <w:b/>
          <w:sz w:val="22"/>
          <w:szCs w:val="22"/>
        </w:rPr>
      </w:pPr>
    </w:p>
    <w:p w:rsidR="00AB7D3F" w:rsidRPr="00F42F65" w:rsidRDefault="00AB7D3F" w:rsidP="00AB7D3F">
      <w:pPr>
        <w:tabs>
          <w:tab w:val="left" w:pos="1440"/>
        </w:tabs>
        <w:rPr>
          <w:rFonts w:ascii="Arial" w:hAnsi="Arial" w:cs="Arial"/>
          <w:b/>
          <w:sz w:val="22"/>
          <w:szCs w:val="22"/>
        </w:rPr>
      </w:pPr>
      <w:r w:rsidRPr="00F42F65">
        <w:rPr>
          <w:rFonts w:ascii="Arial" w:hAnsi="Arial" w:cs="Arial"/>
          <w:b/>
          <w:sz w:val="22"/>
          <w:szCs w:val="22"/>
        </w:rPr>
        <w:t>From:</w:t>
      </w:r>
      <w:r w:rsidRPr="00F42F65">
        <w:rPr>
          <w:rFonts w:ascii="Arial" w:hAnsi="Arial" w:cs="Arial"/>
          <w:b/>
          <w:sz w:val="22"/>
          <w:szCs w:val="22"/>
        </w:rPr>
        <w:tab/>
        <w:t>Bryan Dickason</w:t>
      </w:r>
      <w:r w:rsidR="00292C2D">
        <w:rPr>
          <w:rFonts w:ascii="Arial" w:hAnsi="Arial" w:cs="Arial"/>
          <w:b/>
          <w:sz w:val="22"/>
          <w:szCs w:val="22"/>
        </w:rPr>
        <w:t xml:space="preserve"> - </w:t>
      </w:r>
      <w:r w:rsidRPr="00F42F65">
        <w:rPr>
          <w:rFonts w:ascii="Arial" w:hAnsi="Arial" w:cs="Arial"/>
          <w:b/>
          <w:sz w:val="22"/>
          <w:szCs w:val="22"/>
        </w:rPr>
        <w:t xml:space="preserve">CSAC </w:t>
      </w:r>
      <w:r w:rsidR="00BF61E0">
        <w:rPr>
          <w:rFonts w:ascii="Arial" w:hAnsi="Arial" w:cs="Arial"/>
          <w:b/>
          <w:sz w:val="22"/>
          <w:szCs w:val="22"/>
        </w:rPr>
        <w:t>CASFAA</w:t>
      </w:r>
      <w:r>
        <w:rPr>
          <w:rFonts w:ascii="Arial" w:hAnsi="Arial" w:cs="Arial"/>
          <w:b/>
          <w:sz w:val="22"/>
          <w:szCs w:val="22"/>
        </w:rPr>
        <w:t xml:space="preserve"> </w:t>
      </w:r>
      <w:r w:rsidRPr="00F42F65">
        <w:rPr>
          <w:rFonts w:ascii="Arial" w:hAnsi="Arial" w:cs="Arial"/>
          <w:b/>
          <w:sz w:val="22"/>
          <w:szCs w:val="22"/>
        </w:rPr>
        <w:t xml:space="preserve">Executive </w:t>
      </w:r>
      <w:r w:rsidR="00BF61E0">
        <w:rPr>
          <w:rFonts w:ascii="Arial" w:hAnsi="Arial" w:cs="Arial"/>
          <w:b/>
          <w:sz w:val="22"/>
          <w:szCs w:val="22"/>
        </w:rPr>
        <w:t>Council</w:t>
      </w:r>
      <w:r>
        <w:rPr>
          <w:rFonts w:ascii="Arial" w:hAnsi="Arial" w:cs="Arial"/>
          <w:b/>
          <w:sz w:val="22"/>
          <w:szCs w:val="22"/>
        </w:rPr>
        <w:t xml:space="preserve"> </w:t>
      </w:r>
      <w:r w:rsidRPr="00F42F65">
        <w:rPr>
          <w:rFonts w:ascii="Arial" w:hAnsi="Arial" w:cs="Arial"/>
          <w:b/>
          <w:sz w:val="22"/>
          <w:szCs w:val="22"/>
        </w:rPr>
        <w:t>Liaison</w:t>
      </w:r>
    </w:p>
    <w:p w:rsidR="00AB7D3F" w:rsidRPr="00F42F65" w:rsidRDefault="00AB7D3F" w:rsidP="00AB7D3F">
      <w:pPr>
        <w:tabs>
          <w:tab w:val="left" w:pos="1440"/>
        </w:tabs>
        <w:rPr>
          <w:rFonts w:ascii="Arial" w:hAnsi="Arial" w:cs="Arial"/>
          <w:b/>
          <w:sz w:val="22"/>
          <w:szCs w:val="22"/>
        </w:rPr>
      </w:pPr>
    </w:p>
    <w:p w:rsidR="00AB7D3F" w:rsidRPr="00F42F65" w:rsidRDefault="00AB7D3F" w:rsidP="00AB7D3F">
      <w:pPr>
        <w:tabs>
          <w:tab w:val="left" w:pos="1440"/>
        </w:tabs>
        <w:ind w:left="1440" w:hanging="1440"/>
        <w:rPr>
          <w:rFonts w:ascii="Arial" w:hAnsi="Arial" w:cs="Arial"/>
          <w:b/>
          <w:sz w:val="22"/>
          <w:szCs w:val="22"/>
        </w:rPr>
      </w:pPr>
      <w:r w:rsidRPr="00F42F65">
        <w:rPr>
          <w:rFonts w:ascii="Arial" w:hAnsi="Arial" w:cs="Arial"/>
          <w:b/>
          <w:sz w:val="22"/>
          <w:szCs w:val="22"/>
        </w:rPr>
        <w:t>Re:</w:t>
      </w:r>
      <w:r w:rsidRPr="00F42F65">
        <w:rPr>
          <w:rFonts w:ascii="Arial" w:hAnsi="Arial" w:cs="Arial"/>
          <w:b/>
          <w:sz w:val="22"/>
          <w:szCs w:val="22"/>
        </w:rPr>
        <w:tab/>
        <w:t>CSAC Update</w:t>
      </w:r>
    </w:p>
    <w:p w:rsidR="00096BA3" w:rsidRPr="00910F16" w:rsidRDefault="000E0F40" w:rsidP="00096BA3">
      <w:pPr>
        <w:rPr>
          <w:rFonts w:ascii="Arial" w:hAnsi="Arial" w:cs="Arial"/>
        </w:rPr>
      </w:pPr>
      <w:r>
        <w:rPr>
          <w:rFonts w:ascii="Arial" w:hAnsi="Arial" w:cs="Arial"/>
          <w:b/>
          <w:noProof/>
          <w:sz w:val="22"/>
          <w:szCs w:val="22"/>
        </w:rPr>
        <w:pict>
          <v:line id="_x0000_s1028" style="position:absolute;z-index:251657728" from="0,8.5pt" to="441pt,8.5pt"/>
        </w:pict>
      </w:r>
    </w:p>
    <w:p w:rsidR="00027F70" w:rsidRDefault="004E6B87" w:rsidP="00027F70">
      <w:pPr>
        <w:rPr>
          <w:rFonts w:ascii="Calibri" w:hAnsi="Calibri" w:cs="Calibri"/>
          <w:b/>
          <w:sz w:val="22"/>
          <w:szCs w:val="22"/>
        </w:rPr>
      </w:pPr>
      <w:r>
        <w:rPr>
          <w:rFonts w:ascii="Calibri" w:hAnsi="Calibri" w:cs="Calibri"/>
          <w:b/>
          <w:sz w:val="22"/>
          <w:szCs w:val="22"/>
        </w:rPr>
        <w:t>CSAC Processing Numbers as of April 26</w:t>
      </w:r>
    </w:p>
    <w:p w:rsidR="004E6B87" w:rsidRDefault="004E6B87" w:rsidP="00027F70">
      <w:pPr>
        <w:rPr>
          <w:rFonts w:ascii="Calibri" w:hAnsi="Calibri" w:cs="Calibri"/>
          <w:b/>
          <w:sz w:val="22"/>
          <w:szCs w:val="22"/>
        </w:rPr>
      </w:pPr>
    </w:p>
    <w:p w:rsidR="004E6B87" w:rsidRPr="004E6B87" w:rsidRDefault="004E6B87" w:rsidP="004E6B87">
      <w:pPr>
        <w:rPr>
          <w:rFonts w:ascii="Calibri" w:hAnsi="Calibri"/>
          <w:color w:val="000000"/>
          <w:u w:val="single"/>
        </w:rPr>
      </w:pPr>
      <w:r w:rsidRPr="004E6B87">
        <w:rPr>
          <w:rFonts w:ascii="Calibri" w:hAnsi="Calibri"/>
          <w:color w:val="000000"/>
          <w:u w:val="single"/>
        </w:rPr>
        <w:t xml:space="preserve">Cal Grant </w:t>
      </w:r>
      <w:r>
        <w:rPr>
          <w:rFonts w:ascii="Calibri" w:hAnsi="Calibri"/>
          <w:color w:val="000000"/>
          <w:u w:val="single"/>
        </w:rPr>
        <w:t>GPAs</w:t>
      </w:r>
      <w:r w:rsidRPr="004E6B87">
        <w:rPr>
          <w:rFonts w:ascii="Calibri" w:hAnsi="Calibri"/>
          <w:color w:val="000000"/>
          <w:u w:val="single"/>
        </w:rPr>
        <w:t>:</w:t>
      </w:r>
    </w:p>
    <w:p w:rsidR="004E6B87" w:rsidRPr="004E6B87" w:rsidRDefault="004E6B87" w:rsidP="004E6B87">
      <w:pPr>
        <w:rPr>
          <w:rFonts w:ascii="Calibri" w:hAnsi="Calibri"/>
          <w:color w:val="000000"/>
        </w:rPr>
      </w:pPr>
    </w:p>
    <w:p w:rsidR="004E6B87" w:rsidRPr="004E6B87" w:rsidRDefault="004E6B87" w:rsidP="004E6B87">
      <w:pPr>
        <w:pStyle w:val="ListParagraph"/>
        <w:numPr>
          <w:ilvl w:val="0"/>
          <w:numId w:val="11"/>
        </w:numPr>
        <w:rPr>
          <w:rFonts w:ascii="Calibri" w:hAnsi="Calibri"/>
          <w:color w:val="000000"/>
        </w:rPr>
      </w:pPr>
      <w:r w:rsidRPr="004E6B87">
        <w:rPr>
          <w:rFonts w:ascii="Calibri" w:hAnsi="Calibri"/>
          <w:bCs/>
          <w:color w:val="000000"/>
        </w:rPr>
        <w:t>Total # of 2013-14 GPAs received by CSAC</w:t>
      </w:r>
      <w:r w:rsidRPr="004E6B87">
        <w:rPr>
          <w:rFonts w:ascii="Calibri" w:hAnsi="Calibri"/>
          <w:color w:val="000000"/>
        </w:rPr>
        <w:t xml:space="preserve"> – 4,122,324</w:t>
      </w:r>
    </w:p>
    <w:p w:rsidR="004E6B87" w:rsidRPr="004E6B87" w:rsidRDefault="004E6B87" w:rsidP="004E6B87">
      <w:pPr>
        <w:rPr>
          <w:rFonts w:ascii="Calibri" w:hAnsi="Calibri"/>
          <w:color w:val="000000"/>
        </w:rPr>
      </w:pPr>
    </w:p>
    <w:p w:rsidR="004E6B87" w:rsidRPr="004E6B87" w:rsidRDefault="004E6B87" w:rsidP="004E6B87">
      <w:pPr>
        <w:rPr>
          <w:rFonts w:ascii="Calibri" w:hAnsi="Calibri"/>
          <w:bCs/>
          <w:color w:val="000000"/>
          <w:u w:val="single"/>
        </w:rPr>
      </w:pPr>
      <w:r w:rsidRPr="004E6B87">
        <w:rPr>
          <w:rFonts w:ascii="Calibri" w:hAnsi="Calibri"/>
          <w:bCs/>
          <w:color w:val="000000"/>
          <w:u w:val="single"/>
        </w:rPr>
        <w:t>Federal ISIRs (FAFSA)</w:t>
      </w:r>
    </w:p>
    <w:p w:rsidR="004E6B87" w:rsidRPr="004E6B87" w:rsidRDefault="004E6B87" w:rsidP="004E6B87">
      <w:pPr>
        <w:rPr>
          <w:rFonts w:ascii="Calibri" w:hAnsi="Calibri"/>
          <w:bCs/>
          <w:color w:val="000000"/>
          <w:u w:val="single"/>
        </w:rPr>
      </w:pPr>
    </w:p>
    <w:p w:rsidR="004E6B87" w:rsidRPr="004E6B87" w:rsidRDefault="004E6B87" w:rsidP="004E6B87">
      <w:pPr>
        <w:pStyle w:val="ListParagraph"/>
        <w:numPr>
          <w:ilvl w:val="0"/>
          <w:numId w:val="12"/>
        </w:numPr>
        <w:rPr>
          <w:rFonts w:ascii="Calibri" w:hAnsi="Calibri"/>
          <w:color w:val="000000"/>
        </w:rPr>
      </w:pPr>
      <w:r w:rsidRPr="004E6B87">
        <w:rPr>
          <w:rFonts w:ascii="Calibri" w:hAnsi="Calibri"/>
          <w:bCs/>
          <w:color w:val="000000"/>
        </w:rPr>
        <w:t>Total # of 2013-14 Federal ISIRs received by CSAC</w:t>
      </w:r>
      <w:r w:rsidRPr="004E6B87">
        <w:rPr>
          <w:rFonts w:ascii="Calibri" w:hAnsi="Calibri"/>
          <w:color w:val="000000"/>
        </w:rPr>
        <w:t xml:space="preserve"> – 1,703,589</w:t>
      </w:r>
    </w:p>
    <w:p w:rsidR="004E6B87" w:rsidRPr="004E6B87" w:rsidRDefault="004E6B87" w:rsidP="004E6B87">
      <w:pPr>
        <w:rPr>
          <w:rFonts w:ascii="Calibri" w:hAnsi="Calibri"/>
          <w:color w:val="000000"/>
        </w:rPr>
      </w:pPr>
    </w:p>
    <w:p w:rsidR="004E6B87" w:rsidRPr="004E6B87" w:rsidRDefault="004E6B87" w:rsidP="004E6B87">
      <w:pPr>
        <w:pStyle w:val="ListParagraph"/>
        <w:numPr>
          <w:ilvl w:val="0"/>
          <w:numId w:val="12"/>
        </w:numPr>
        <w:rPr>
          <w:rFonts w:ascii="Calibri" w:hAnsi="Calibri"/>
          <w:color w:val="000000"/>
        </w:rPr>
      </w:pPr>
      <w:r w:rsidRPr="004E6B87">
        <w:rPr>
          <w:rFonts w:ascii="Calibri" w:hAnsi="Calibri"/>
          <w:bCs/>
          <w:color w:val="000000"/>
        </w:rPr>
        <w:t>Total # of 2013-14 applications considered for Cal Grant using Federal ISIRs</w:t>
      </w:r>
      <w:r w:rsidRPr="004E6B87">
        <w:rPr>
          <w:rFonts w:ascii="Calibri" w:hAnsi="Calibri"/>
          <w:color w:val="000000"/>
        </w:rPr>
        <w:t xml:space="preserve"> – 207,863</w:t>
      </w:r>
    </w:p>
    <w:p w:rsidR="004E6B87" w:rsidRPr="004E6B87" w:rsidRDefault="004E6B87" w:rsidP="004E6B87">
      <w:pPr>
        <w:rPr>
          <w:rFonts w:ascii="Calibri" w:hAnsi="Calibri"/>
          <w:color w:val="000000"/>
        </w:rPr>
      </w:pPr>
    </w:p>
    <w:p w:rsidR="004E6B87" w:rsidRPr="004E6B87" w:rsidRDefault="004E6B87" w:rsidP="004E6B87">
      <w:pPr>
        <w:pStyle w:val="ListParagraph"/>
        <w:numPr>
          <w:ilvl w:val="0"/>
          <w:numId w:val="12"/>
        </w:numPr>
        <w:rPr>
          <w:rFonts w:ascii="Calibri" w:hAnsi="Calibri"/>
          <w:color w:val="000000"/>
        </w:rPr>
      </w:pPr>
      <w:r w:rsidRPr="004E6B87">
        <w:rPr>
          <w:rFonts w:ascii="Calibri" w:hAnsi="Calibri"/>
          <w:bCs/>
          <w:color w:val="000000"/>
        </w:rPr>
        <w:t>Total # of 2013-14 Cal Grant award offers using Federal ISIRs</w:t>
      </w:r>
      <w:r w:rsidRPr="004E6B87">
        <w:rPr>
          <w:rFonts w:ascii="Calibri" w:hAnsi="Calibri"/>
          <w:color w:val="000000"/>
        </w:rPr>
        <w:t xml:space="preserve"> – 118,047</w:t>
      </w:r>
    </w:p>
    <w:p w:rsidR="004E6B87" w:rsidRPr="004E6B87" w:rsidRDefault="004E6B87" w:rsidP="004E6B87">
      <w:pPr>
        <w:rPr>
          <w:rFonts w:ascii="Calibri" w:hAnsi="Calibri"/>
          <w:color w:val="000000"/>
        </w:rPr>
      </w:pPr>
    </w:p>
    <w:p w:rsidR="004E6B87" w:rsidRPr="004E6B87" w:rsidRDefault="004E6B87" w:rsidP="004E6B87">
      <w:pPr>
        <w:rPr>
          <w:rFonts w:ascii="Calibri" w:hAnsi="Calibri"/>
          <w:bCs/>
          <w:color w:val="000000"/>
          <w:u w:val="single"/>
        </w:rPr>
      </w:pPr>
      <w:r w:rsidRPr="004E6B87">
        <w:rPr>
          <w:rFonts w:ascii="Calibri" w:hAnsi="Calibri"/>
          <w:bCs/>
          <w:color w:val="000000"/>
          <w:u w:val="single"/>
        </w:rPr>
        <w:t>Cal ISIRs (Dream Application)</w:t>
      </w:r>
    </w:p>
    <w:p w:rsidR="004E6B87" w:rsidRPr="004E6B87" w:rsidRDefault="004E6B87" w:rsidP="004E6B87">
      <w:pPr>
        <w:rPr>
          <w:rFonts w:ascii="Calibri" w:hAnsi="Calibri"/>
          <w:bCs/>
          <w:color w:val="000000"/>
          <w:u w:val="single"/>
        </w:rPr>
      </w:pPr>
    </w:p>
    <w:p w:rsidR="004E6B87" w:rsidRPr="004E6B87" w:rsidRDefault="004E6B87" w:rsidP="004E6B87">
      <w:pPr>
        <w:pStyle w:val="ListParagraph"/>
        <w:numPr>
          <w:ilvl w:val="0"/>
          <w:numId w:val="13"/>
        </w:numPr>
        <w:rPr>
          <w:rFonts w:ascii="Calibri" w:hAnsi="Calibri"/>
          <w:color w:val="000000"/>
        </w:rPr>
      </w:pPr>
      <w:r w:rsidRPr="004E6B87">
        <w:rPr>
          <w:rFonts w:ascii="Calibri" w:hAnsi="Calibri"/>
          <w:bCs/>
          <w:color w:val="000000"/>
        </w:rPr>
        <w:t>Total # of 2013-14 Cal ISIRs</w:t>
      </w:r>
      <w:r w:rsidRPr="004E6B87">
        <w:rPr>
          <w:rFonts w:ascii="Calibri" w:hAnsi="Calibri"/>
          <w:color w:val="000000"/>
        </w:rPr>
        <w:t xml:space="preserve"> – 22,459</w:t>
      </w:r>
    </w:p>
    <w:p w:rsidR="004E6B87" w:rsidRPr="004E6B87" w:rsidRDefault="004E6B87" w:rsidP="004E6B87">
      <w:pPr>
        <w:rPr>
          <w:rFonts w:ascii="Calibri" w:hAnsi="Calibri"/>
          <w:color w:val="000000"/>
        </w:rPr>
      </w:pPr>
    </w:p>
    <w:p w:rsidR="004E6B87" w:rsidRPr="004E6B87" w:rsidRDefault="004E6B87" w:rsidP="004E6B87">
      <w:pPr>
        <w:pStyle w:val="ListParagraph"/>
        <w:numPr>
          <w:ilvl w:val="0"/>
          <w:numId w:val="13"/>
        </w:numPr>
        <w:rPr>
          <w:rFonts w:ascii="Calibri" w:hAnsi="Calibri"/>
          <w:color w:val="000000"/>
        </w:rPr>
      </w:pPr>
      <w:r w:rsidRPr="004E6B87">
        <w:rPr>
          <w:rFonts w:ascii="Calibri" w:hAnsi="Calibri"/>
          <w:bCs/>
          <w:color w:val="000000"/>
        </w:rPr>
        <w:t>Total # of 2013-14 Cal ISIRs processed for Cal Grants</w:t>
      </w:r>
      <w:r w:rsidRPr="004E6B87">
        <w:rPr>
          <w:rFonts w:ascii="Calibri" w:hAnsi="Calibri"/>
          <w:color w:val="000000"/>
        </w:rPr>
        <w:t xml:space="preserve"> – 6,037</w:t>
      </w:r>
    </w:p>
    <w:p w:rsidR="004E6B87" w:rsidRPr="004E6B87" w:rsidRDefault="004E6B87" w:rsidP="004E6B87">
      <w:pPr>
        <w:rPr>
          <w:rFonts w:ascii="Calibri" w:hAnsi="Calibri"/>
          <w:color w:val="000000"/>
        </w:rPr>
      </w:pPr>
    </w:p>
    <w:p w:rsidR="004E6B87" w:rsidRPr="00027F70" w:rsidRDefault="004E6B87" w:rsidP="004E6B87">
      <w:pPr>
        <w:rPr>
          <w:rFonts w:ascii="Calibri" w:hAnsi="Calibri" w:cs="Calibri"/>
          <w:b/>
          <w:sz w:val="22"/>
          <w:szCs w:val="22"/>
        </w:rPr>
      </w:pPr>
      <w:r w:rsidRPr="004E6B87">
        <w:rPr>
          <w:rFonts w:ascii="Calibri" w:hAnsi="Calibri"/>
          <w:bCs/>
          <w:color w:val="000000"/>
        </w:rPr>
        <w:t>Total # of 2014-14 Cal Grant offers using Cal ISIRs</w:t>
      </w:r>
      <w:r w:rsidRPr="004E6B87">
        <w:rPr>
          <w:rFonts w:ascii="Calibri" w:hAnsi="Calibri"/>
          <w:color w:val="000000"/>
        </w:rPr>
        <w:t xml:space="preserve"> – 5,221</w:t>
      </w:r>
    </w:p>
    <w:p w:rsidR="00027F70" w:rsidRPr="00027F70" w:rsidRDefault="00027F70" w:rsidP="00027F70">
      <w:pPr>
        <w:rPr>
          <w:rFonts w:ascii="Calibri" w:hAnsi="Calibri" w:cs="Calibri"/>
          <w:sz w:val="22"/>
          <w:szCs w:val="22"/>
        </w:rPr>
      </w:pPr>
    </w:p>
    <w:p w:rsidR="00027F70" w:rsidRPr="00027F70" w:rsidRDefault="00027F70" w:rsidP="00027F70">
      <w:pPr>
        <w:rPr>
          <w:rFonts w:ascii="Calibri" w:hAnsi="Calibri" w:cs="Calibri"/>
          <w:sz w:val="22"/>
          <w:szCs w:val="22"/>
        </w:rPr>
      </w:pPr>
    </w:p>
    <w:p w:rsidR="00027F70" w:rsidRPr="00027F70" w:rsidRDefault="00027F70" w:rsidP="00027F70">
      <w:pPr>
        <w:rPr>
          <w:rFonts w:ascii="Calibri" w:hAnsi="Calibri" w:cs="Calibri"/>
          <w:sz w:val="22"/>
          <w:szCs w:val="22"/>
        </w:rPr>
      </w:pPr>
    </w:p>
    <w:p w:rsidR="00027F70" w:rsidRPr="00027F70" w:rsidRDefault="00027F70" w:rsidP="00027F70">
      <w:pPr>
        <w:rPr>
          <w:rFonts w:ascii="Calibri" w:hAnsi="Calibri" w:cs="Calibri"/>
          <w:b/>
          <w:sz w:val="22"/>
          <w:szCs w:val="22"/>
        </w:rPr>
      </w:pPr>
      <w:r w:rsidRPr="00027F70">
        <w:rPr>
          <w:rFonts w:ascii="Calibri" w:hAnsi="Calibri" w:cs="Calibri"/>
          <w:b/>
          <w:sz w:val="22"/>
          <w:szCs w:val="22"/>
        </w:rPr>
        <w:t xml:space="preserve">Cal Grant </w:t>
      </w:r>
      <w:r w:rsidR="004E6B87">
        <w:rPr>
          <w:rFonts w:ascii="Calibri" w:hAnsi="Calibri" w:cs="Calibri"/>
          <w:b/>
          <w:sz w:val="22"/>
          <w:szCs w:val="22"/>
        </w:rPr>
        <w:t>September 2 d</w:t>
      </w:r>
      <w:r w:rsidRPr="00027F70">
        <w:rPr>
          <w:rFonts w:ascii="Calibri" w:hAnsi="Calibri" w:cs="Calibri"/>
          <w:b/>
          <w:sz w:val="22"/>
          <w:szCs w:val="22"/>
        </w:rPr>
        <w:t>eadline 2013-14</w:t>
      </w:r>
    </w:p>
    <w:p w:rsidR="00027F70" w:rsidRPr="00027F70" w:rsidRDefault="00027F70" w:rsidP="00027F70">
      <w:pPr>
        <w:rPr>
          <w:rFonts w:ascii="Calibri" w:hAnsi="Calibri" w:cs="Calibri"/>
          <w:sz w:val="22"/>
          <w:szCs w:val="22"/>
        </w:rPr>
      </w:pPr>
    </w:p>
    <w:p w:rsidR="00027F70" w:rsidRPr="00027F70" w:rsidRDefault="00027F70" w:rsidP="00027F70">
      <w:pPr>
        <w:rPr>
          <w:rFonts w:ascii="Calibri" w:hAnsi="Calibri" w:cs="Calibri"/>
          <w:sz w:val="22"/>
          <w:szCs w:val="22"/>
        </w:rPr>
      </w:pPr>
      <w:r w:rsidRPr="00027F70">
        <w:rPr>
          <w:rFonts w:ascii="Calibri" w:hAnsi="Calibri" w:cs="Calibri"/>
          <w:sz w:val="22"/>
          <w:szCs w:val="22"/>
        </w:rPr>
        <w:t>State law requires that any state deadline that falls on a non-business day be extended to the next business day.  Hence, the</w:t>
      </w:r>
      <w:r w:rsidR="00B95CDC">
        <w:rPr>
          <w:rFonts w:ascii="Calibri" w:hAnsi="Calibri" w:cs="Calibri"/>
          <w:sz w:val="22"/>
          <w:szCs w:val="22"/>
        </w:rPr>
        <w:t xml:space="preserve"> </w:t>
      </w:r>
      <w:proofErr w:type="gramStart"/>
      <w:r w:rsidR="00B95CDC">
        <w:rPr>
          <w:rFonts w:ascii="Calibri" w:hAnsi="Calibri" w:cs="Calibri"/>
          <w:sz w:val="22"/>
          <w:szCs w:val="22"/>
        </w:rPr>
        <w:t>Fall</w:t>
      </w:r>
      <w:proofErr w:type="gramEnd"/>
      <w:r w:rsidRPr="00027F70">
        <w:rPr>
          <w:rFonts w:ascii="Calibri" w:hAnsi="Calibri" w:cs="Calibri"/>
          <w:sz w:val="22"/>
          <w:szCs w:val="22"/>
        </w:rPr>
        <w:t xml:space="preserve"> 2013 Cal Grant deadline for the FAFSA and GPA will be extended from </w:t>
      </w:r>
      <w:r w:rsidR="00B95CDC">
        <w:rPr>
          <w:rFonts w:ascii="Calibri" w:hAnsi="Calibri" w:cs="Calibri"/>
          <w:sz w:val="22"/>
          <w:szCs w:val="22"/>
        </w:rPr>
        <w:t xml:space="preserve">September 2 </w:t>
      </w:r>
      <w:r w:rsidRPr="00027F70">
        <w:rPr>
          <w:rFonts w:ascii="Calibri" w:hAnsi="Calibri" w:cs="Calibri"/>
          <w:sz w:val="22"/>
          <w:szCs w:val="22"/>
        </w:rPr>
        <w:t xml:space="preserve">to </w:t>
      </w:r>
      <w:r w:rsidR="00B95CDC">
        <w:rPr>
          <w:rFonts w:ascii="Calibri" w:hAnsi="Calibri" w:cs="Calibri"/>
          <w:sz w:val="22"/>
          <w:szCs w:val="22"/>
        </w:rPr>
        <w:t>September 3</w:t>
      </w:r>
      <w:r w:rsidRPr="00027F70">
        <w:rPr>
          <w:rFonts w:ascii="Calibri" w:hAnsi="Calibri" w:cs="Calibri"/>
          <w:sz w:val="22"/>
          <w:szCs w:val="22"/>
        </w:rPr>
        <w:t>.</w:t>
      </w:r>
    </w:p>
    <w:p w:rsidR="00027F70" w:rsidRDefault="00027F70" w:rsidP="00027F70">
      <w:pPr>
        <w:rPr>
          <w:rFonts w:ascii="Calibri" w:hAnsi="Calibri" w:cs="Calibri"/>
          <w:sz w:val="22"/>
          <w:szCs w:val="22"/>
        </w:rPr>
      </w:pPr>
    </w:p>
    <w:p w:rsidR="00AC7FE6" w:rsidRDefault="00AC7FE6" w:rsidP="00027F70">
      <w:pPr>
        <w:rPr>
          <w:rFonts w:ascii="Calibri" w:hAnsi="Calibri" w:cs="Calibri"/>
          <w:sz w:val="22"/>
          <w:szCs w:val="22"/>
        </w:rPr>
      </w:pPr>
    </w:p>
    <w:p w:rsidR="00AC7FE6" w:rsidRDefault="00AC7FE6" w:rsidP="00027F70">
      <w:pPr>
        <w:rPr>
          <w:rFonts w:ascii="Calibri" w:hAnsi="Calibri" w:cs="Calibri"/>
          <w:sz w:val="22"/>
          <w:szCs w:val="22"/>
        </w:rPr>
      </w:pPr>
    </w:p>
    <w:p w:rsidR="00AC7FE6" w:rsidRDefault="00AC7FE6" w:rsidP="00027F70">
      <w:pPr>
        <w:rPr>
          <w:rFonts w:ascii="Calibri" w:hAnsi="Calibri" w:cs="Calibri"/>
          <w:sz w:val="22"/>
          <w:szCs w:val="22"/>
        </w:rPr>
      </w:pPr>
    </w:p>
    <w:p w:rsidR="00AC7FE6" w:rsidRPr="00027F70" w:rsidRDefault="00AC7FE6" w:rsidP="00027F70">
      <w:pPr>
        <w:rPr>
          <w:rFonts w:ascii="Calibri" w:hAnsi="Calibri" w:cs="Calibri"/>
          <w:sz w:val="22"/>
          <w:szCs w:val="22"/>
        </w:rPr>
      </w:pPr>
    </w:p>
    <w:p w:rsidR="00AC7FE6" w:rsidRDefault="00AC7FE6" w:rsidP="00AC7FE6">
      <w:pPr>
        <w:jc w:val="center"/>
        <w:rPr>
          <w:b/>
          <w:bCs/>
          <w:sz w:val="32"/>
          <w:szCs w:val="32"/>
          <w:u w:val="single"/>
        </w:rPr>
      </w:pPr>
      <w:r w:rsidRPr="00A80873">
        <w:rPr>
          <w:b/>
          <w:bCs/>
          <w:sz w:val="32"/>
          <w:szCs w:val="32"/>
          <w:u w:val="single"/>
        </w:rPr>
        <w:lastRenderedPageBreak/>
        <w:t xml:space="preserve">2013-14 </w:t>
      </w:r>
      <w:r>
        <w:rPr>
          <w:b/>
          <w:bCs/>
          <w:sz w:val="32"/>
          <w:szCs w:val="32"/>
          <w:u w:val="single"/>
        </w:rPr>
        <w:t xml:space="preserve">Dream Act Application </w:t>
      </w:r>
      <w:r w:rsidRPr="00A80873">
        <w:rPr>
          <w:b/>
          <w:bCs/>
          <w:sz w:val="20"/>
          <w:szCs w:val="20"/>
          <w:u w:val="single"/>
        </w:rPr>
        <w:t>(as of 4/24/2013)</w:t>
      </w:r>
    </w:p>
    <w:p w:rsidR="00AC7FE6" w:rsidRPr="00A80873" w:rsidRDefault="00AC7FE6" w:rsidP="00AC7FE6">
      <w:pPr>
        <w:jc w:val="center"/>
        <w:rPr>
          <w:b/>
          <w:bCs/>
          <w:sz w:val="32"/>
          <w:szCs w:val="32"/>
          <w:u w:val="single"/>
        </w:rPr>
      </w:pPr>
    </w:p>
    <w:p w:rsidR="00AC7FE6" w:rsidRDefault="00AC7FE6" w:rsidP="00AC7FE6">
      <w:pPr>
        <w:rPr>
          <w:b/>
          <w:bCs/>
          <w:u w:val="single"/>
        </w:rPr>
      </w:pPr>
    </w:p>
    <w:tbl>
      <w:tblPr>
        <w:tblW w:w="8512" w:type="dxa"/>
        <w:tblInd w:w="85" w:type="dxa"/>
        <w:tblLook w:val="04A0" w:firstRow="1" w:lastRow="0" w:firstColumn="1" w:lastColumn="0" w:noHBand="0" w:noVBand="1"/>
      </w:tblPr>
      <w:tblGrid>
        <w:gridCol w:w="6953"/>
        <w:gridCol w:w="1559"/>
      </w:tblGrid>
      <w:tr w:rsidR="00AC7FE6" w:rsidRPr="00753785" w:rsidTr="00394456">
        <w:trPr>
          <w:trHeight w:val="401"/>
        </w:trPr>
        <w:tc>
          <w:tcPr>
            <w:tcW w:w="6953" w:type="dxa"/>
            <w:tcBorders>
              <w:top w:val="double" w:sz="6" w:space="0" w:color="auto"/>
              <w:left w:val="double" w:sz="6" w:space="0" w:color="auto"/>
              <w:bottom w:val="single" w:sz="4" w:space="0" w:color="auto"/>
              <w:right w:val="nil"/>
            </w:tcBorders>
            <w:shd w:val="clear" w:color="auto" w:fill="auto"/>
            <w:noWrap/>
            <w:vAlign w:val="bottom"/>
            <w:hideMark/>
          </w:tcPr>
          <w:p w:rsidR="00AC7FE6" w:rsidRPr="00753785" w:rsidRDefault="00AC7FE6" w:rsidP="00394456">
            <w:pPr>
              <w:rPr>
                <w:rFonts w:ascii="Cambria" w:hAnsi="Cambria"/>
                <w:b/>
                <w:bCs/>
                <w:color w:val="000000"/>
              </w:rPr>
            </w:pPr>
            <w:r>
              <w:rPr>
                <w:rFonts w:ascii="Cambria" w:hAnsi="Cambria"/>
                <w:b/>
                <w:bCs/>
                <w:color w:val="000000"/>
              </w:rPr>
              <w:t xml:space="preserve">Complete, </w:t>
            </w:r>
            <w:r w:rsidRPr="00753785">
              <w:rPr>
                <w:rFonts w:ascii="Cambria" w:hAnsi="Cambria"/>
                <w:b/>
                <w:bCs/>
                <w:color w:val="000000"/>
              </w:rPr>
              <w:t xml:space="preserve">On time Dream Applications </w:t>
            </w:r>
          </w:p>
        </w:tc>
        <w:tc>
          <w:tcPr>
            <w:tcW w:w="1559" w:type="dxa"/>
            <w:tcBorders>
              <w:top w:val="double" w:sz="6" w:space="0" w:color="auto"/>
              <w:left w:val="single" w:sz="4" w:space="0" w:color="auto"/>
              <w:bottom w:val="single" w:sz="4" w:space="0" w:color="auto"/>
              <w:right w:val="double" w:sz="6" w:space="0" w:color="auto"/>
            </w:tcBorders>
            <w:shd w:val="clear" w:color="auto" w:fill="auto"/>
            <w:noWrap/>
            <w:vAlign w:val="bottom"/>
            <w:hideMark/>
          </w:tcPr>
          <w:p w:rsidR="00AC7FE6" w:rsidRPr="00753785" w:rsidRDefault="00AC7FE6" w:rsidP="00394456">
            <w:pPr>
              <w:jc w:val="right"/>
              <w:rPr>
                <w:rFonts w:ascii="Cambria" w:hAnsi="Cambria"/>
                <w:b/>
                <w:bCs/>
                <w:color w:val="000000"/>
              </w:rPr>
            </w:pPr>
            <w:r w:rsidRPr="00753785">
              <w:rPr>
                <w:rFonts w:ascii="Cambria" w:hAnsi="Cambria"/>
                <w:b/>
                <w:bCs/>
                <w:color w:val="000000"/>
              </w:rPr>
              <w:t>20,322</w:t>
            </w:r>
          </w:p>
        </w:tc>
      </w:tr>
      <w:tr w:rsidR="00AC7FE6" w:rsidRPr="00753785" w:rsidTr="00394456">
        <w:trPr>
          <w:trHeight w:val="401"/>
        </w:trPr>
        <w:tc>
          <w:tcPr>
            <w:tcW w:w="6953" w:type="dxa"/>
            <w:tcBorders>
              <w:top w:val="nil"/>
              <w:left w:val="double" w:sz="6" w:space="0" w:color="auto"/>
              <w:bottom w:val="nil"/>
              <w:right w:val="nil"/>
            </w:tcBorders>
            <w:shd w:val="clear" w:color="auto" w:fill="auto"/>
            <w:noWrap/>
            <w:vAlign w:val="bottom"/>
            <w:hideMark/>
          </w:tcPr>
          <w:p w:rsidR="00AC7FE6" w:rsidRPr="00753785" w:rsidRDefault="00AC7FE6" w:rsidP="00394456">
            <w:pPr>
              <w:ind w:firstLineChars="200" w:firstLine="480"/>
              <w:rPr>
                <w:rFonts w:ascii="Cambria" w:hAnsi="Cambria"/>
                <w:color w:val="000000"/>
              </w:rPr>
            </w:pPr>
            <w:r w:rsidRPr="00753785">
              <w:rPr>
                <w:rFonts w:ascii="Cambria" w:hAnsi="Cambria"/>
                <w:color w:val="000000"/>
              </w:rPr>
              <w:t>Processed for E1</w:t>
            </w:r>
            <w:r w:rsidRPr="00753785">
              <w:rPr>
                <w:color w:val="000000"/>
              </w:rPr>
              <w:t>¹</w:t>
            </w:r>
            <w:r w:rsidRPr="00753785">
              <w:rPr>
                <w:rFonts w:ascii="Cambria" w:hAnsi="Cambria"/>
                <w:color w:val="000000"/>
              </w:rPr>
              <w:t xml:space="preserve"> Awards</w:t>
            </w:r>
          </w:p>
        </w:tc>
        <w:tc>
          <w:tcPr>
            <w:tcW w:w="1559" w:type="dxa"/>
            <w:tcBorders>
              <w:top w:val="nil"/>
              <w:left w:val="single" w:sz="4" w:space="0" w:color="auto"/>
              <w:bottom w:val="nil"/>
              <w:right w:val="double" w:sz="6" w:space="0" w:color="auto"/>
            </w:tcBorders>
            <w:shd w:val="clear" w:color="auto" w:fill="auto"/>
            <w:noWrap/>
            <w:vAlign w:val="bottom"/>
            <w:hideMark/>
          </w:tcPr>
          <w:p w:rsidR="00AC7FE6" w:rsidRPr="00753785" w:rsidRDefault="00AC7FE6" w:rsidP="00394456">
            <w:pPr>
              <w:jc w:val="right"/>
              <w:rPr>
                <w:rFonts w:ascii="Cambria" w:hAnsi="Cambria"/>
                <w:i/>
                <w:iCs/>
                <w:color w:val="000000"/>
              </w:rPr>
            </w:pPr>
            <w:r w:rsidRPr="00753785">
              <w:rPr>
                <w:rFonts w:ascii="Cambria" w:hAnsi="Cambria"/>
                <w:i/>
                <w:iCs/>
                <w:color w:val="000000"/>
              </w:rPr>
              <w:t>6,037</w:t>
            </w:r>
          </w:p>
        </w:tc>
      </w:tr>
      <w:tr w:rsidR="00AC7FE6" w:rsidRPr="00753785" w:rsidTr="00394456">
        <w:trPr>
          <w:trHeight w:val="401"/>
        </w:trPr>
        <w:tc>
          <w:tcPr>
            <w:tcW w:w="6953" w:type="dxa"/>
            <w:tcBorders>
              <w:top w:val="nil"/>
              <w:left w:val="double" w:sz="6" w:space="0" w:color="auto"/>
              <w:bottom w:val="nil"/>
              <w:right w:val="nil"/>
            </w:tcBorders>
            <w:shd w:val="clear" w:color="auto" w:fill="auto"/>
            <w:noWrap/>
            <w:vAlign w:val="bottom"/>
            <w:hideMark/>
          </w:tcPr>
          <w:p w:rsidR="00AC7FE6" w:rsidRPr="00753785" w:rsidRDefault="00AC7FE6" w:rsidP="00394456">
            <w:pPr>
              <w:ind w:firstLineChars="200" w:firstLine="480"/>
              <w:rPr>
                <w:rFonts w:ascii="Cambria" w:hAnsi="Cambria"/>
                <w:color w:val="000000"/>
              </w:rPr>
            </w:pPr>
            <w:r w:rsidRPr="00753785">
              <w:rPr>
                <w:rFonts w:ascii="Cambria" w:hAnsi="Cambria"/>
                <w:color w:val="000000"/>
              </w:rPr>
              <w:t>Expected for E2</w:t>
            </w:r>
            <w:r w:rsidRPr="00753785">
              <w:rPr>
                <w:color w:val="000000"/>
              </w:rPr>
              <w:t>²</w:t>
            </w:r>
            <w:r w:rsidRPr="00753785">
              <w:rPr>
                <w:rFonts w:ascii="Cambria" w:hAnsi="Cambria"/>
                <w:color w:val="000000"/>
              </w:rPr>
              <w:t xml:space="preserve"> Processing</w:t>
            </w:r>
          </w:p>
        </w:tc>
        <w:tc>
          <w:tcPr>
            <w:tcW w:w="1559" w:type="dxa"/>
            <w:tcBorders>
              <w:top w:val="nil"/>
              <w:left w:val="single" w:sz="4" w:space="0" w:color="auto"/>
              <w:bottom w:val="nil"/>
              <w:right w:val="double" w:sz="6" w:space="0" w:color="auto"/>
            </w:tcBorders>
            <w:shd w:val="clear" w:color="auto" w:fill="auto"/>
            <w:noWrap/>
            <w:vAlign w:val="bottom"/>
            <w:hideMark/>
          </w:tcPr>
          <w:p w:rsidR="00AC7FE6" w:rsidRPr="00753785" w:rsidRDefault="00AC7FE6" w:rsidP="00394456">
            <w:pPr>
              <w:jc w:val="right"/>
              <w:rPr>
                <w:rFonts w:ascii="Cambria" w:hAnsi="Cambria"/>
                <w:i/>
                <w:iCs/>
                <w:color w:val="000000"/>
              </w:rPr>
            </w:pPr>
            <w:r w:rsidRPr="00753785">
              <w:rPr>
                <w:rFonts w:ascii="Cambria" w:hAnsi="Cambria"/>
                <w:i/>
                <w:iCs/>
                <w:color w:val="000000"/>
              </w:rPr>
              <w:t>1,800</w:t>
            </w:r>
          </w:p>
        </w:tc>
      </w:tr>
      <w:tr w:rsidR="00AC7FE6" w:rsidRPr="00753785" w:rsidTr="00394456">
        <w:trPr>
          <w:trHeight w:val="401"/>
        </w:trPr>
        <w:tc>
          <w:tcPr>
            <w:tcW w:w="6953" w:type="dxa"/>
            <w:tcBorders>
              <w:top w:val="nil"/>
              <w:left w:val="double" w:sz="6" w:space="0" w:color="auto"/>
              <w:bottom w:val="nil"/>
              <w:right w:val="nil"/>
            </w:tcBorders>
            <w:shd w:val="clear" w:color="auto" w:fill="auto"/>
            <w:noWrap/>
            <w:vAlign w:val="bottom"/>
            <w:hideMark/>
          </w:tcPr>
          <w:p w:rsidR="00AC7FE6" w:rsidRPr="00753785" w:rsidRDefault="00AC7FE6" w:rsidP="00394456">
            <w:pPr>
              <w:ind w:firstLineChars="200" w:firstLine="480"/>
              <w:rPr>
                <w:rFonts w:ascii="Cambria" w:hAnsi="Cambria"/>
                <w:color w:val="000000"/>
              </w:rPr>
            </w:pPr>
            <w:r w:rsidRPr="00753785">
              <w:rPr>
                <w:rFonts w:ascii="Cambria" w:hAnsi="Cambria"/>
                <w:color w:val="000000"/>
              </w:rPr>
              <w:t>Expected for Cal Grant C Processing</w:t>
            </w:r>
          </w:p>
        </w:tc>
        <w:tc>
          <w:tcPr>
            <w:tcW w:w="1559" w:type="dxa"/>
            <w:tcBorders>
              <w:top w:val="nil"/>
              <w:left w:val="single" w:sz="4" w:space="0" w:color="auto"/>
              <w:bottom w:val="nil"/>
              <w:right w:val="double" w:sz="6" w:space="0" w:color="auto"/>
            </w:tcBorders>
            <w:shd w:val="clear" w:color="auto" w:fill="auto"/>
            <w:noWrap/>
            <w:vAlign w:val="bottom"/>
            <w:hideMark/>
          </w:tcPr>
          <w:p w:rsidR="00AC7FE6" w:rsidRPr="00753785" w:rsidRDefault="00AC7FE6" w:rsidP="00394456">
            <w:pPr>
              <w:jc w:val="right"/>
              <w:rPr>
                <w:rFonts w:ascii="Cambria" w:hAnsi="Cambria"/>
                <w:i/>
                <w:iCs/>
                <w:color w:val="000000"/>
              </w:rPr>
            </w:pPr>
            <w:r w:rsidRPr="00753785">
              <w:rPr>
                <w:rFonts w:ascii="Cambria" w:hAnsi="Cambria"/>
                <w:i/>
                <w:iCs/>
                <w:color w:val="000000"/>
              </w:rPr>
              <w:t>500</w:t>
            </w:r>
          </w:p>
        </w:tc>
      </w:tr>
      <w:tr w:rsidR="00AC7FE6" w:rsidRPr="00753785" w:rsidTr="00394456">
        <w:trPr>
          <w:trHeight w:val="401"/>
        </w:trPr>
        <w:tc>
          <w:tcPr>
            <w:tcW w:w="6953" w:type="dxa"/>
            <w:tcBorders>
              <w:top w:val="nil"/>
              <w:left w:val="double" w:sz="6" w:space="0" w:color="auto"/>
              <w:bottom w:val="nil"/>
              <w:right w:val="nil"/>
            </w:tcBorders>
            <w:shd w:val="clear" w:color="auto" w:fill="auto"/>
            <w:noWrap/>
            <w:vAlign w:val="bottom"/>
            <w:hideMark/>
          </w:tcPr>
          <w:p w:rsidR="00AC7FE6" w:rsidRPr="00753785" w:rsidRDefault="00AC7FE6" w:rsidP="00394456">
            <w:pPr>
              <w:ind w:firstLineChars="200" w:firstLine="480"/>
              <w:rPr>
                <w:rFonts w:ascii="Cambria" w:hAnsi="Cambria"/>
                <w:color w:val="000000"/>
              </w:rPr>
            </w:pPr>
            <w:r w:rsidRPr="00753785">
              <w:rPr>
                <w:rFonts w:ascii="Cambria" w:hAnsi="Cambria"/>
                <w:color w:val="000000"/>
              </w:rPr>
              <w:t>Incomplete:  Missing Dream Application Information</w:t>
            </w:r>
          </w:p>
        </w:tc>
        <w:tc>
          <w:tcPr>
            <w:tcW w:w="1559" w:type="dxa"/>
            <w:tcBorders>
              <w:top w:val="nil"/>
              <w:left w:val="single" w:sz="4" w:space="0" w:color="auto"/>
              <w:bottom w:val="nil"/>
              <w:right w:val="double" w:sz="6" w:space="0" w:color="auto"/>
            </w:tcBorders>
            <w:shd w:val="clear" w:color="auto" w:fill="auto"/>
            <w:noWrap/>
            <w:vAlign w:val="bottom"/>
            <w:hideMark/>
          </w:tcPr>
          <w:p w:rsidR="00AC7FE6" w:rsidRPr="00753785" w:rsidRDefault="00AC7FE6" w:rsidP="00394456">
            <w:pPr>
              <w:jc w:val="right"/>
              <w:rPr>
                <w:rFonts w:ascii="Cambria" w:hAnsi="Cambria"/>
                <w:i/>
                <w:iCs/>
                <w:color w:val="000000"/>
              </w:rPr>
            </w:pPr>
            <w:r w:rsidRPr="00753785">
              <w:rPr>
                <w:rFonts w:ascii="Cambria" w:hAnsi="Cambria"/>
                <w:i/>
                <w:iCs/>
                <w:color w:val="000000"/>
              </w:rPr>
              <w:t>2,000</w:t>
            </w:r>
          </w:p>
        </w:tc>
      </w:tr>
      <w:tr w:rsidR="00AC7FE6" w:rsidRPr="00753785" w:rsidTr="00394456">
        <w:trPr>
          <w:trHeight w:val="401"/>
        </w:trPr>
        <w:tc>
          <w:tcPr>
            <w:tcW w:w="6953" w:type="dxa"/>
            <w:tcBorders>
              <w:top w:val="nil"/>
              <w:left w:val="double" w:sz="6" w:space="0" w:color="auto"/>
              <w:bottom w:val="nil"/>
              <w:right w:val="nil"/>
            </w:tcBorders>
            <w:shd w:val="clear" w:color="auto" w:fill="auto"/>
            <w:noWrap/>
            <w:vAlign w:val="bottom"/>
            <w:hideMark/>
          </w:tcPr>
          <w:p w:rsidR="00AC7FE6" w:rsidRPr="00753785" w:rsidRDefault="00AC7FE6" w:rsidP="00394456">
            <w:pPr>
              <w:ind w:firstLineChars="200" w:firstLine="480"/>
              <w:rPr>
                <w:rFonts w:ascii="Cambria" w:hAnsi="Cambria"/>
                <w:color w:val="000000"/>
              </w:rPr>
            </w:pPr>
            <w:r w:rsidRPr="00753785">
              <w:rPr>
                <w:rFonts w:ascii="Cambria" w:hAnsi="Cambria"/>
                <w:color w:val="000000"/>
              </w:rPr>
              <w:t>Missing Grade Point Average from Student</w:t>
            </w:r>
            <w:r>
              <w:rPr>
                <w:rFonts w:ascii="Cambria" w:hAnsi="Cambria"/>
                <w:color w:val="000000"/>
              </w:rPr>
              <w:t>³</w:t>
            </w:r>
          </w:p>
        </w:tc>
        <w:tc>
          <w:tcPr>
            <w:tcW w:w="1559" w:type="dxa"/>
            <w:tcBorders>
              <w:top w:val="nil"/>
              <w:left w:val="single" w:sz="4" w:space="0" w:color="auto"/>
              <w:bottom w:val="nil"/>
              <w:right w:val="double" w:sz="6" w:space="0" w:color="auto"/>
            </w:tcBorders>
            <w:shd w:val="clear" w:color="auto" w:fill="auto"/>
            <w:noWrap/>
            <w:vAlign w:val="bottom"/>
            <w:hideMark/>
          </w:tcPr>
          <w:p w:rsidR="00AC7FE6" w:rsidRPr="00753785" w:rsidRDefault="00AC7FE6" w:rsidP="00394456">
            <w:pPr>
              <w:jc w:val="right"/>
              <w:rPr>
                <w:rFonts w:ascii="Cambria" w:hAnsi="Cambria"/>
                <w:i/>
                <w:iCs/>
                <w:color w:val="000000"/>
              </w:rPr>
            </w:pPr>
            <w:r w:rsidRPr="00753785">
              <w:rPr>
                <w:rFonts w:ascii="Cambria" w:hAnsi="Cambria"/>
                <w:i/>
                <w:iCs/>
                <w:color w:val="000000"/>
              </w:rPr>
              <w:t>6,000</w:t>
            </w:r>
          </w:p>
        </w:tc>
      </w:tr>
      <w:tr w:rsidR="00AC7FE6" w:rsidRPr="00753785" w:rsidTr="00394456">
        <w:trPr>
          <w:trHeight w:val="401"/>
        </w:trPr>
        <w:tc>
          <w:tcPr>
            <w:tcW w:w="6953" w:type="dxa"/>
            <w:tcBorders>
              <w:top w:val="nil"/>
              <w:left w:val="double" w:sz="6" w:space="0" w:color="auto"/>
              <w:bottom w:val="nil"/>
              <w:right w:val="nil"/>
            </w:tcBorders>
            <w:shd w:val="clear" w:color="auto" w:fill="auto"/>
            <w:noWrap/>
            <w:vAlign w:val="bottom"/>
            <w:hideMark/>
          </w:tcPr>
          <w:p w:rsidR="00AC7FE6" w:rsidRPr="00753785" w:rsidRDefault="00AC7FE6" w:rsidP="00394456">
            <w:pPr>
              <w:ind w:firstLineChars="200" w:firstLine="480"/>
              <w:rPr>
                <w:rFonts w:ascii="Cambria" w:hAnsi="Cambria"/>
                <w:color w:val="000000"/>
              </w:rPr>
            </w:pPr>
            <w:r w:rsidRPr="00753785">
              <w:rPr>
                <w:rFonts w:ascii="Cambria" w:hAnsi="Cambria"/>
                <w:color w:val="000000"/>
              </w:rPr>
              <w:t>Filed Dream Application, but FAFSA eligible</w:t>
            </w:r>
          </w:p>
        </w:tc>
        <w:tc>
          <w:tcPr>
            <w:tcW w:w="1559" w:type="dxa"/>
            <w:tcBorders>
              <w:top w:val="nil"/>
              <w:left w:val="single" w:sz="4" w:space="0" w:color="auto"/>
              <w:bottom w:val="nil"/>
              <w:right w:val="double" w:sz="6" w:space="0" w:color="auto"/>
            </w:tcBorders>
            <w:shd w:val="clear" w:color="auto" w:fill="auto"/>
            <w:noWrap/>
            <w:vAlign w:val="bottom"/>
            <w:hideMark/>
          </w:tcPr>
          <w:p w:rsidR="00AC7FE6" w:rsidRPr="00753785" w:rsidRDefault="00AC7FE6" w:rsidP="00394456">
            <w:pPr>
              <w:jc w:val="right"/>
              <w:rPr>
                <w:rFonts w:ascii="Cambria" w:hAnsi="Cambria"/>
                <w:i/>
                <w:iCs/>
                <w:color w:val="000000"/>
              </w:rPr>
            </w:pPr>
            <w:r w:rsidRPr="00753785">
              <w:rPr>
                <w:rFonts w:ascii="Cambria" w:hAnsi="Cambria"/>
                <w:i/>
                <w:iCs/>
                <w:color w:val="000000"/>
              </w:rPr>
              <w:t>2,500</w:t>
            </w:r>
          </w:p>
        </w:tc>
      </w:tr>
      <w:tr w:rsidR="00AC7FE6" w:rsidRPr="00753785" w:rsidTr="00394456">
        <w:trPr>
          <w:trHeight w:val="401"/>
        </w:trPr>
        <w:tc>
          <w:tcPr>
            <w:tcW w:w="6953" w:type="dxa"/>
            <w:tcBorders>
              <w:top w:val="nil"/>
              <w:left w:val="double" w:sz="6" w:space="0" w:color="auto"/>
              <w:bottom w:val="double" w:sz="6" w:space="0" w:color="auto"/>
              <w:right w:val="nil"/>
            </w:tcBorders>
            <w:shd w:val="clear" w:color="auto" w:fill="auto"/>
            <w:noWrap/>
            <w:vAlign w:val="bottom"/>
            <w:hideMark/>
          </w:tcPr>
          <w:p w:rsidR="00AC7FE6" w:rsidRPr="00753785" w:rsidRDefault="00AC7FE6" w:rsidP="00394456">
            <w:pPr>
              <w:ind w:firstLineChars="200" w:firstLine="480"/>
              <w:rPr>
                <w:rFonts w:ascii="Cambria" w:hAnsi="Cambria"/>
                <w:color w:val="000000"/>
              </w:rPr>
            </w:pPr>
            <w:r w:rsidRPr="00753785">
              <w:rPr>
                <w:rFonts w:ascii="Cambria" w:hAnsi="Cambria"/>
                <w:color w:val="000000"/>
              </w:rPr>
              <w:t>Other application issues</w:t>
            </w:r>
          </w:p>
        </w:tc>
        <w:tc>
          <w:tcPr>
            <w:tcW w:w="1559" w:type="dxa"/>
            <w:tcBorders>
              <w:top w:val="nil"/>
              <w:left w:val="single" w:sz="4" w:space="0" w:color="auto"/>
              <w:bottom w:val="double" w:sz="6" w:space="0" w:color="auto"/>
              <w:right w:val="double" w:sz="6" w:space="0" w:color="auto"/>
            </w:tcBorders>
            <w:shd w:val="clear" w:color="auto" w:fill="auto"/>
            <w:noWrap/>
            <w:vAlign w:val="bottom"/>
            <w:hideMark/>
          </w:tcPr>
          <w:p w:rsidR="00AC7FE6" w:rsidRPr="00753785" w:rsidRDefault="00AC7FE6" w:rsidP="00394456">
            <w:pPr>
              <w:jc w:val="right"/>
              <w:rPr>
                <w:rFonts w:ascii="Cambria" w:hAnsi="Cambria"/>
                <w:i/>
                <w:iCs/>
                <w:color w:val="000000"/>
              </w:rPr>
            </w:pPr>
            <w:r w:rsidRPr="00753785">
              <w:rPr>
                <w:rFonts w:ascii="Cambria" w:hAnsi="Cambria"/>
                <w:i/>
                <w:iCs/>
                <w:color w:val="000000"/>
              </w:rPr>
              <w:t>1,496</w:t>
            </w:r>
          </w:p>
        </w:tc>
      </w:tr>
      <w:tr w:rsidR="00AC7FE6" w:rsidRPr="00753785" w:rsidTr="00394456">
        <w:trPr>
          <w:trHeight w:val="205"/>
        </w:trPr>
        <w:tc>
          <w:tcPr>
            <w:tcW w:w="6953" w:type="dxa"/>
            <w:tcBorders>
              <w:top w:val="nil"/>
              <w:left w:val="nil"/>
              <w:bottom w:val="nil"/>
              <w:right w:val="nil"/>
            </w:tcBorders>
            <w:shd w:val="clear" w:color="auto" w:fill="auto"/>
            <w:noWrap/>
            <w:vAlign w:val="bottom"/>
            <w:hideMark/>
          </w:tcPr>
          <w:p w:rsidR="00AC7FE6" w:rsidRPr="00753785" w:rsidRDefault="00AC7FE6" w:rsidP="00394456">
            <w:pPr>
              <w:rPr>
                <w:rFonts w:ascii="Cambria" w:hAnsi="Cambria"/>
                <w:color w:val="000000"/>
              </w:rPr>
            </w:pPr>
          </w:p>
        </w:tc>
        <w:tc>
          <w:tcPr>
            <w:tcW w:w="1559" w:type="dxa"/>
            <w:tcBorders>
              <w:top w:val="nil"/>
              <w:left w:val="nil"/>
              <w:bottom w:val="nil"/>
              <w:right w:val="nil"/>
            </w:tcBorders>
            <w:shd w:val="clear" w:color="auto" w:fill="auto"/>
            <w:noWrap/>
            <w:vAlign w:val="bottom"/>
            <w:hideMark/>
          </w:tcPr>
          <w:p w:rsidR="00AC7FE6" w:rsidRPr="00753785" w:rsidRDefault="00AC7FE6" w:rsidP="00394456">
            <w:pPr>
              <w:rPr>
                <w:rFonts w:ascii="Cambria" w:hAnsi="Cambria"/>
                <w:color w:val="000000"/>
              </w:rPr>
            </w:pPr>
          </w:p>
        </w:tc>
      </w:tr>
      <w:tr w:rsidR="00AC7FE6" w:rsidRPr="00753785" w:rsidTr="00394456">
        <w:trPr>
          <w:trHeight w:val="314"/>
        </w:trPr>
        <w:tc>
          <w:tcPr>
            <w:tcW w:w="6953" w:type="dxa"/>
            <w:tcBorders>
              <w:top w:val="nil"/>
              <w:left w:val="nil"/>
              <w:bottom w:val="nil"/>
              <w:right w:val="nil"/>
            </w:tcBorders>
            <w:shd w:val="clear" w:color="auto" w:fill="auto"/>
            <w:noWrap/>
            <w:vAlign w:val="bottom"/>
            <w:hideMark/>
          </w:tcPr>
          <w:p w:rsidR="00AC7FE6" w:rsidRPr="00753785" w:rsidRDefault="00AC7FE6" w:rsidP="00394456">
            <w:pPr>
              <w:rPr>
                <w:rFonts w:ascii="Cambria" w:hAnsi="Cambria"/>
                <w:i/>
                <w:iCs/>
                <w:color w:val="000000"/>
                <w:sz w:val="20"/>
                <w:szCs w:val="20"/>
              </w:rPr>
            </w:pPr>
            <w:r w:rsidRPr="00753785">
              <w:rPr>
                <w:i/>
                <w:iCs/>
                <w:color w:val="000000"/>
                <w:sz w:val="20"/>
                <w:szCs w:val="20"/>
              </w:rPr>
              <w:t>¹</w:t>
            </w:r>
            <w:r w:rsidRPr="00753785">
              <w:rPr>
                <w:rFonts w:ascii="Cambria" w:hAnsi="Cambria"/>
                <w:i/>
                <w:iCs/>
                <w:color w:val="000000"/>
                <w:sz w:val="20"/>
                <w:szCs w:val="20"/>
              </w:rPr>
              <w:t xml:space="preserve"> High School Entitlement</w:t>
            </w:r>
          </w:p>
        </w:tc>
        <w:tc>
          <w:tcPr>
            <w:tcW w:w="1559" w:type="dxa"/>
            <w:tcBorders>
              <w:top w:val="nil"/>
              <w:left w:val="nil"/>
              <w:bottom w:val="nil"/>
              <w:right w:val="nil"/>
            </w:tcBorders>
            <w:shd w:val="clear" w:color="auto" w:fill="auto"/>
            <w:noWrap/>
            <w:vAlign w:val="bottom"/>
            <w:hideMark/>
          </w:tcPr>
          <w:p w:rsidR="00AC7FE6" w:rsidRPr="00753785" w:rsidRDefault="00AC7FE6" w:rsidP="00394456">
            <w:pPr>
              <w:rPr>
                <w:rFonts w:ascii="Cambria" w:hAnsi="Cambria"/>
                <w:color w:val="000000"/>
              </w:rPr>
            </w:pPr>
          </w:p>
        </w:tc>
      </w:tr>
      <w:tr w:rsidR="00AC7FE6" w:rsidRPr="00753785" w:rsidTr="00394456">
        <w:trPr>
          <w:trHeight w:val="314"/>
        </w:trPr>
        <w:tc>
          <w:tcPr>
            <w:tcW w:w="6953" w:type="dxa"/>
            <w:tcBorders>
              <w:top w:val="nil"/>
              <w:left w:val="nil"/>
              <w:bottom w:val="nil"/>
              <w:right w:val="nil"/>
            </w:tcBorders>
            <w:shd w:val="clear" w:color="auto" w:fill="auto"/>
            <w:noWrap/>
            <w:vAlign w:val="bottom"/>
            <w:hideMark/>
          </w:tcPr>
          <w:p w:rsidR="00AC7FE6" w:rsidRDefault="00AC7FE6" w:rsidP="00394456">
            <w:pPr>
              <w:rPr>
                <w:rFonts w:ascii="Cambria" w:hAnsi="Cambria"/>
                <w:i/>
                <w:iCs/>
                <w:color w:val="000000"/>
                <w:sz w:val="20"/>
                <w:szCs w:val="20"/>
              </w:rPr>
            </w:pPr>
            <w:r w:rsidRPr="00753785">
              <w:rPr>
                <w:i/>
                <w:iCs/>
                <w:color w:val="000000"/>
                <w:sz w:val="20"/>
                <w:szCs w:val="20"/>
              </w:rPr>
              <w:t>²</w:t>
            </w:r>
            <w:r w:rsidRPr="00753785">
              <w:rPr>
                <w:rFonts w:ascii="Cambria" w:hAnsi="Cambria"/>
                <w:i/>
                <w:iCs/>
                <w:color w:val="000000"/>
                <w:sz w:val="20"/>
                <w:szCs w:val="20"/>
              </w:rPr>
              <w:t xml:space="preserve"> Transfer Entitlement</w:t>
            </w:r>
          </w:p>
          <w:p w:rsidR="00AC7FE6" w:rsidRPr="00753785" w:rsidRDefault="00AC7FE6" w:rsidP="00394456">
            <w:pPr>
              <w:rPr>
                <w:rFonts w:ascii="Cambria" w:hAnsi="Cambria"/>
                <w:i/>
                <w:iCs/>
                <w:color w:val="000000"/>
                <w:sz w:val="20"/>
                <w:szCs w:val="20"/>
              </w:rPr>
            </w:pPr>
            <w:r>
              <w:rPr>
                <w:rFonts w:ascii="Cambria" w:hAnsi="Cambria"/>
                <w:i/>
                <w:iCs/>
                <w:color w:val="000000"/>
                <w:sz w:val="20"/>
                <w:szCs w:val="20"/>
              </w:rPr>
              <w:t>³ Notifications sent to students.  Late GPA appeal processing until May 16, 2013.</w:t>
            </w:r>
          </w:p>
        </w:tc>
        <w:tc>
          <w:tcPr>
            <w:tcW w:w="1559" w:type="dxa"/>
            <w:tcBorders>
              <w:top w:val="nil"/>
              <w:left w:val="nil"/>
              <w:bottom w:val="nil"/>
              <w:right w:val="nil"/>
            </w:tcBorders>
            <w:shd w:val="clear" w:color="auto" w:fill="auto"/>
            <w:noWrap/>
            <w:vAlign w:val="bottom"/>
            <w:hideMark/>
          </w:tcPr>
          <w:p w:rsidR="00AC7FE6" w:rsidRPr="00753785" w:rsidRDefault="00AC7FE6" w:rsidP="00394456">
            <w:pPr>
              <w:rPr>
                <w:rFonts w:ascii="Cambria" w:hAnsi="Cambria"/>
                <w:color w:val="000000"/>
              </w:rPr>
            </w:pPr>
          </w:p>
        </w:tc>
      </w:tr>
    </w:tbl>
    <w:p w:rsidR="00AC7FE6" w:rsidRDefault="00AC7FE6" w:rsidP="00AC7FE6"/>
    <w:p w:rsidR="00AC7FE6" w:rsidRDefault="00AC7FE6" w:rsidP="00AC7FE6"/>
    <w:p w:rsidR="00AC7FE6" w:rsidRPr="00A80873" w:rsidRDefault="00AC7FE6" w:rsidP="00AC7FE6">
      <w:pPr>
        <w:rPr>
          <w:b/>
          <w:sz w:val="28"/>
          <w:szCs w:val="28"/>
          <w:u w:val="single"/>
        </w:rPr>
      </w:pPr>
      <w:r w:rsidRPr="00A80873">
        <w:rPr>
          <w:b/>
          <w:sz w:val="28"/>
          <w:szCs w:val="28"/>
          <w:u w:val="single"/>
        </w:rPr>
        <w:t>2013-14 Cal Grant Award Offers for Dream Applicants by Segment</w:t>
      </w:r>
    </w:p>
    <w:p w:rsidR="00AC7FE6" w:rsidRDefault="00AC7FE6" w:rsidP="00AC7FE6"/>
    <w:tbl>
      <w:tblPr>
        <w:tblW w:w="9105" w:type="dxa"/>
        <w:tblCellMar>
          <w:left w:w="0" w:type="dxa"/>
          <w:right w:w="0" w:type="dxa"/>
        </w:tblCellMar>
        <w:tblLook w:val="0600" w:firstRow="0" w:lastRow="0" w:firstColumn="0" w:lastColumn="0" w:noHBand="1" w:noVBand="1"/>
      </w:tblPr>
      <w:tblGrid>
        <w:gridCol w:w="3705"/>
        <w:gridCol w:w="2700"/>
        <w:gridCol w:w="2700"/>
      </w:tblGrid>
      <w:tr w:rsidR="00AC7FE6" w:rsidRPr="001E61F1" w:rsidTr="00394456">
        <w:trPr>
          <w:trHeight w:val="364"/>
        </w:trPr>
        <w:tc>
          <w:tcPr>
            <w:tcW w:w="3705" w:type="dxa"/>
            <w:tcBorders>
              <w:top w:val="nil"/>
              <w:left w:val="nil"/>
              <w:bottom w:val="nil"/>
              <w:right w:val="nil"/>
            </w:tcBorders>
            <w:shd w:val="clear" w:color="auto" w:fill="auto"/>
            <w:tcMar>
              <w:top w:w="15" w:type="dxa"/>
              <w:left w:w="15" w:type="dxa"/>
              <w:bottom w:w="0" w:type="dxa"/>
              <w:right w:w="15" w:type="dxa"/>
            </w:tcMar>
            <w:vAlign w:val="bottom"/>
            <w:hideMark/>
          </w:tcPr>
          <w:p w:rsidR="00AC7FE6" w:rsidRPr="001E61F1" w:rsidRDefault="00AC7FE6" w:rsidP="00394456">
            <w:pPr>
              <w:rPr>
                <w:rFonts w:ascii="Arial" w:hAnsi="Arial" w:cs="Arial"/>
                <w:sz w:val="36"/>
                <w:szCs w:val="36"/>
              </w:rPr>
            </w:pPr>
          </w:p>
        </w:tc>
        <w:tc>
          <w:tcPr>
            <w:tcW w:w="2700" w:type="dxa"/>
            <w:tcBorders>
              <w:top w:val="nil"/>
              <w:left w:val="nil"/>
              <w:bottom w:val="double" w:sz="6" w:space="0" w:color="000000"/>
              <w:right w:val="nil"/>
            </w:tcBorders>
            <w:shd w:val="clear" w:color="auto" w:fill="auto"/>
            <w:tcMar>
              <w:top w:w="15" w:type="dxa"/>
              <w:left w:w="15" w:type="dxa"/>
              <w:bottom w:w="0" w:type="dxa"/>
              <w:right w:w="15" w:type="dxa"/>
            </w:tcMar>
            <w:vAlign w:val="bottom"/>
            <w:hideMark/>
          </w:tcPr>
          <w:p w:rsidR="00AC7FE6" w:rsidRPr="001E61F1" w:rsidRDefault="00AC7FE6" w:rsidP="00394456">
            <w:pPr>
              <w:jc w:val="center"/>
              <w:textAlignment w:val="bottom"/>
              <w:rPr>
                <w:rFonts w:ascii="Arial" w:hAnsi="Arial" w:cs="Arial"/>
                <w:sz w:val="28"/>
                <w:szCs w:val="28"/>
              </w:rPr>
            </w:pPr>
            <w:r>
              <w:rPr>
                <w:rFonts w:cs="Arial"/>
                <w:b/>
                <w:bCs/>
                <w:color w:val="000000"/>
                <w:kern w:val="24"/>
                <w:sz w:val="28"/>
                <w:szCs w:val="28"/>
              </w:rPr>
              <w:t>Award Offers</w:t>
            </w:r>
          </w:p>
        </w:tc>
        <w:tc>
          <w:tcPr>
            <w:tcW w:w="2700" w:type="dxa"/>
            <w:tcBorders>
              <w:top w:val="nil"/>
              <w:left w:val="nil"/>
              <w:bottom w:val="double" w:sz="6" w:space="0" w:color="000000"/>
              <w:right w:val="nil"/>
            </w:tcBorders>
          </w:tcPr>
          <w:p w:rsidR="00AC7FE6" w:rsidRPr="001E61F1" w:rsidRDefault="00AC7FE6" w:rsidP="00394456">
            <w:pPr>
              <w:jc w:val="center"/>
              <w:textAlignment w:val="bottom"/>
              <w:rPr>
                <w:rFonts w:cs="Arial"/>
                <w:b/>
                <w:bCs/>
                <w:color w:val="000000"/>
                <w:kern w:val="24"/>
                <w:sz w:val="28"/>
                <w:szCs w:val="28"/>
              </w:rPr>
            </w:pPr>
            <w:r>
              <w:rPr>
                <w:rFonts w:cs="Arial"/>
                <w:b/>
                <w:bCs/>
                <w:color w:val="000000"/>
                <w:kern w:val="24"/>
                <w:sz w:val="28"/>
                <w:szCs w:val="28"/>
              </w:rPr>
              <w:t>Percentage</w:t>
            </w:r>
          </w:p>
        </w:tc>
      </w:tr>
      <w:tr w:rsidR="00AC7FE6" w:rsidRPr="001E61F1" w:rsidTr="00394456">
        <w:trPr>
          <w:trHeight w:val="364"/>
        </w:trPr>
        <w:tc>
          <w:tcPr>
            <w:tcW w:w="3705" w:type="dxa"/>
            <w:tcBorders>
              <w:top w:val="nil"/>
              <w:left w:val="nil"/>
              <w:bottom w:val="nil"/>
              <w:right w:val="double" w:sz="6" w:space="0" w:color="000000"/>
            </w:tcBorders>
            <w:shd w:val="clear" w:color="auto" w:fill="auto"/>
            <w:tcMar>
              <w:top w:w="15" w:type="dxa"/>
              <w:left w:w="15" w:type="dxa"/>
              <w:bottom w:w="0" w:type="dxa"/>
              <w:right w:w="15" w:type="dxa"/>
            </w:tcMar>
            <w:vAlign w:val="bottom"/>
            <w:hideMark/>
          </w:tcPr>
          <w:p w:rsidR="00AC7FE6" w:rsidRPr="00AC7FE6" w:rsidRDefault="00AC7FE6" w:rsidP="00394456">
            <w:pPr>
              <w:textAlignment w:val="bottom"/>
              <w:rPr>
                <w:rFonts w:ascii="Cambria" w:hAnsi="Cambria" w:cs="Arial"/>
              </w:rPr>
            </w:pPr>
            <w:r w:rsidRPr="00AC7FE6">
              <w:rPr>
                <w:rFonts w:ascii="Cambria" w:hAnsi="Cambria" w:cs="Arial"/>
                <w:bCs/>
                <w:color w:val="000000"/>
                <w:kern w:val="24"/>
              </w:rPr>
              <w:t>Community College</w:t>
            </w:r>
          </w:p>
        </w:tc>
        <w:tc>
          <w:tcPr>
            <w:tcW w:w="2700" w:type="dxa"/>
            <w:tcBorders>
              <w:top w:val="double" w:sz="6" w:space="0" w:color="000000"/>
              <w:left w:val="double" w:sz="6" w:space="0" w:color="000000"/>
              <w:bottom w:val="single" w:sz="4" w:space="0" w:color="BFBFBF"/>
              <w:right w:val="single" w:sz="12" w:space="0" w:color="FF0000"/>
            </w:tcBorders>
            <w:shd w:val="clear" w:color="auto" w:fill="auto"/>
            <w:tcMar>
              <w:top w:w="15" w:type="dxa"/>
              <w:left w:w="15" w:type="dxa"/>
              <w:bottom w:w="0" w:type="dxa"/>
              <w:right w:w="15" w:type="dxa"/>
            </w:tcMar>
            <w:vAlign w:val="bottom"/>
            <w:hideMark/>
          </w:tcPr>
          <w:p w:rsidR="00AC7FE6" w:rsidRPr="001E61F1" w:rsidRDefault="00AC7FE6" w:rsidP="00394456">
            <w:pPr>
              <w:jc w:val="center"/>
              <w:textAlignment w:val="bottom"/>
              <w:rPr>
                <w:rFonts w:ascii="Arial" w:hAnsi="Arial" w:cs="Arial"/>
              </w:rPr>
            </w:pPr>
            <w:r>
              <w:rPr>
                <w:rFonts w:cs="Arial"/>
                <w:color w:val="000000"/>
                <w:kern w:val="24"/>
              </w:rPr>
              <w:t xml:space="preserve">2,251 </w:t>
            </w:r>
          </w:p>
        </w:tc>
        <w:tc>
          <w:tcPr>
            <w:tcW w:w="2700" w:type="dxa"/>
            <w:tcBorders>
              <w:top w:val="double" w:sz="6" w:space="0" w:color="000000"/>
              <w:left w:val="double" w:sz="6" w:space="0" w:color="000000"/>
              <w:bottom w:val="single" w:sz="4" w:space="0" w:color="BFBFBF"/>
              <w:right w:val="double" w:sz="6" w:space="0" w:color="000000"/>
            </w:tcBorders>
          </w:tcPr>
          <w:p w:rsidR="00AC7FE6" w:rsidRDefault="00AC7FE6" w:rsidP="00394456">
            <w:pPr>
              <w:jc w:val="center"/>
              <w:textAlignment w:val="bottom"/>
              <w:rPr>
                <w:rFonts w:cs="Arial"/>
                <w:color w:val="000000"/>
                <w:kern w:val="24"/>
              </w:rPr>
            </w:pPr>
            <w:r>
              <w:rPr>
                <w:rFonts w:cs="Arial"/>
                <w:color w:val="000000"/>
                <w:kern w:val="24"/>
              </w:rPr>
              <w:t>43%</w:t>
            </w:r>
          </w:p>
        </w:tc>
      </w:tr>
      <w:tr w:rsidR="00AC7FE6" w:rsidRPr="001E61F1" w:rsidTr="00394456">
        <w:trPr>
          <w:trHeight w:val="364"/>
        </w:trPr>
        <w:tc>
          <w:tcPr>
            <w:tcW w:w="3705" w:type="dxa"/>
            <w:tcBorders>
              <w:top w:val="nil"/>
              <w:left w:val="nil"/>
              <w:bottom w:val="nil"/>
              <w:right w:val="double" w:sz="6" w:space="0" w:color="000000"/>
            </w:tcBorders>
            <w:shd w:val="clear" w:color="auto" w:fill="auto"/>
            <w:tcMar>
              <w:top w:w="15" w:type="dxa"/>
              <w:left w:w="15" w:type="dxa"/>
              <w:bottom w:w="0" w:type="dxa"/>
              <w:right w:w="15" w:type="dxa"/>
            </w:tcMar>
            <w:vAlign w:val="bottom"/>
            <w:hideMark/>
          </w:tcPr>
          <w:p w:rsidR="00AC7FE6" w:rsidRPr="00AC7FE6" w:rsidRDefault="00AC7FE6" w:rsidP="00394456">
            <w:pPr>
              <w:textAlignment w:val="bottom"/>
              <w:rPr>
                <w:rFonts w:ascii="Cambria" w:hAnsi="Cambria" w:cs="Arial"/>
              </w:rPr>
            </w:pPr>
            <w:proofErr w:type="spellStart"/>
            <w:r w:rsidRPr="00AC7FE6">
              <w:rPr>
                <w:rFonts w:ascii="Cambria" w:hAnsi="Cambria" w:cs="Arial"/>
                <w:bCs/>
                <w:color w:val="000000"/>
                <w:kern w:val="24"/>
              </w:rPr>
              <w:t>UC</w:t>
            </w:r>
            <w:proofErr w:type="spellEnd"/>
          </w:p>
        </w:tc>
        <w:tc>
          <w:tcPr>
            <w:tcW w:w="2700" w:type="dxa"/>
            <w:tcBorders>
              <w:top w:val="single" w:sz="4" w:space="0" w:color="BFBFBF"/>
              <w:left w:val="double" w:sz="6" w:space="0" w:color="000000"/>
              <w:bottom w:val="single" w:sz="4" w:space="0" w:color="BFBFBF"/>
              <w:right w:val="single" w:sz="12" w:space="0" w:color="FF0000"/>
            </w:tcBorders>
            <w:shd w:val="clear" w:color="auto" w:fill="auto"/>
            <w:tcMar>
              <w:top w:w="15" w:type="dxa"/>
              <w:left w:w="15" w:type="dxa"/>
              <w:bottom w:w="0" w:type="dxa"/>
              <w:right w:w="15" w:type="dxa"/>
            </w:tcMar>
            <w:vAlign w:val="bottom"/>
            <w:hideMark/>
          </w:tcPr>
          <w:p w:rsidR="00AC7FE6" w:rsidRPr="001E61F1" w:rsidRDefault="00AC7FE6" w:rsidP="00394456">
            <w:pPr>
              <w:jc w:val="center"/>
              <w:textAlignment w:val="bottom"/>
              <w:rPr>
                <w:rFonts w:ascii="Arial" w:hAnsi="Arial" w:cs="Arial"/>
              </w:rPr>
            </w:pPr>
            <w:r>
              <w:rPr>
                <w:rFonts w:cs="Arial"/>
                <w:color w:val="000000"/>
                <w:kern w:val="24"/>
              </w:rPr>
              <w:t xml:space="preserve">798 </w:t>
            </w:r>
          </w:p>
        </w:tc>
        <w:tc>
          <w:tcPr>
            <w:tcW w:w="2700" w:type="dxa"/>
            <w:tcBorders>
              <w:top w:val="single" w:sz="4" w:space="0" w:color="BFBFBF"/>
              <w:left w:val="double" w:sz="6" w:space="0" w:color="000000"/>
              <w:bottom w:val="single" w:sz="4" w:space="0" w:color="BFBFBF"/>
              <w:right w:val="double" w:sz="6" w:space="0" w:color="000000"/>
            </w:tcBorders>
          </w:tcPr>
          <w:p w:rsidR="00AC7FE6" w:rsidRDefault="00AC7FE6" w:rsidP="00394456">
            <w:pPr>
              <w:jc w:val="center"/>
              <w:textAlignment w:val="bottom"/>
              <w:rPr>
                <w:rFonts w:cs="Arial"/>
                <w:color w:val="000000"/>
                <w:kern w:val="24"/>
              </w:rPr>
            </w:pPr>
            <w:r>
              <w:rPr>
                <w:rFonts w:cs="Arial"/>
                <w:color w:val="000000"/>
                <w:kern w:val="24"/>
              </w:rPr>
              <w:t>15%</w:t>
            </w:r>
          </w:p>
        </w:tc>
      </w:tr>
      <w:tr w:rsidR="00AC7FE6" w:rsidRPr="001E61F1" w:rsidTr="00394456">
        <w:trPr>
          <w:trHeight w:val="364"/>
        </w:trPr>
        <w:tc>
          <w:tcPr>
            <w:tcW w:w="3705" w:type="dxa"/>
            <w:tcBorders>
              <w:top w:val="nil"/>
              <w:left w:val="nil"/>
              <w:bottom w:val="nil"/>
              <w:right w:val="double" w:sz="6" w:space="0" w:color="000000"/>
            </w:tcBorders>
            <w:shd w:val="clear" w:color="auto" w:fill="auto"/>
            <w:tcMar>
              <w:top w:w="15" w:type="dxa"/>
              <w:left w:w="15" w:type="dxa"/>
              <w:bottom w:w="0" w:type="dxa"/>
              <w:right w:w="15" w:type="dxa"/>
            </w:tcMar>
            <w:vAlign w:val="bottom"/>
            <w:hideMark/>
          </w:tcPr>
          <w:p w:rsidR="00AC7FE6" w:rsidRPr="00AC7FE6" w:rsidRDefault="00AC7FE6" w:rsidP="00394456">
            <w:pPr>
              <w:textAlignment w:val="bottom"/>
              <w:rPr>
                <w:rFonts w:ascii="Cambria" w:hAnsi="Cambria" w:cs="Arial"/>
              </w:rPr>
            </w:pPr>
            <w:r w:rsidRPr="00AC7FE6">
              <w:rPr>
                <w:rFonts w:ascii="Cambria" w:hAnsi="Cambria" w:cs="Arial"/>
                <w:bCs/>
                <w:color w:val="000000"/>
                <w:kern w:val="24"/>
              </w:rPr>
              <w:t>CSU</w:t>
            </w:r>
          </w:p>
        </w:tc>
        <w:tc>
          <w:tcPr>
            <w:tcW w:w="2700" w:type="dxa"/>
            <w:tcBorders>
              <w:top w:val="single" w:sz="4" w:space="0" w:color="BFBFBF"/>
              <w:left w:val="double" w:sz="6" w:space="0" w:color="000000"/>
              <w:bottom w:val="single" w:sz="4" w:space="0" w:color="BFBFBF"/>
              <w:right w:val="single" w:sz="12" w:space="0" w:color="FF0000"/>
            </w:tcBorders>
            <w:shd w:val="clear" w:color="auto" w:fill="auto"/>
            <w:tcMar>
              <w:top w:w="15" w:type="dxa"/>
              <w:left w:w="15" w:type="dxa"/>
              <w:bottom w:w="0" w:type="dxa"/>
              <w:right w:w="15" w:type="dxa"/>
            </w:tcMar>
            <w:vAlign w:val="bottom"/>
            <w:hideMark/>
          </w:tcPr>
          <w:p w:rsidR="00AC7FE6" w:rsidRPr="001E61F1" w:rsidRDefault="00AC7FE6" w:rsidP="00394456">
            <w:pPr>
              <w:jc w:val="center"/>
              <w:textAlignment w:val="bottom"/>
              <w:rPr>
                <w:rFonts w:ascii="Arial" w:hAnsi="Arial" w:cs="Arial"/>
              </w:rPr>
            </w:pPr>
            <w:r>
              <w:rPr>
                <w:rFonts w:cs="Arial"/>
                <w:color w:val="000000"/>
                <w:kern w:val="24"/>
              </w:rPr>
              <w:t xml:space="preserve">1,875 </w:t>
            </w:r>
          </w:p>
        </w:tc>
        <w:tc>
          <w:tcPr>
            <w:tcW w:w="2700" w:type="dxa"/>
            <w:tcBorders>
              <w:top w:val="single" w:sz="4" w:space="0" w:color="BFBFBF"/>
              <w:left w:val="double" w:sz="6" w:space="0" w:color="000000"/>
              <w:bottom w:val="single" w:sz="4" w:space="0" w:color="BFBFBF"/>
              <w:right w:val="double" w:sz="6" w:space="0" w:color="000000"/>
            </w:tcBorders>
          </w:tcPr>
          <w:p w:rsidR="00AC7FE6" w:rsidRDefault="00AC7FE6" w:rsidP="00394456">
            <w:pPr>
              <w:jc w:val="center"/>
              <w:textAlignment w:val="bottom"/>
              <w:rPr>
                <w:rFonts w:cs="Arial"/>
                <w:color w:val="000000"/>
                <w:kern w:val="24"/>
              </w:rPr>
            </w:pPr>
            <w:r>
              <w:rPr>
                <w:rFonts w:cs="Arial"/>
                <w:color w:val="000000"/>
                <w:kern w:val="24"/>
              </w:rPr>
              <w:t>36%</w:t>
            </w:r>
          </w:p>
        </w:tc>
      </w:tr>
      <w:tr w:rsidR="00AC7FE6" w:rsidRPr="001E61F1" w:rsidTr="00394456">
        <w:trPr>
          <w:trHeight w:val="364"/>
        </w:trPr>
        <w:tc>
          <w:tcPr>
            <w:tcW w:w="3705" w:type="dxa"/>
            <w:tcBorders>
              <w:top w:val="nil"/>
              <w:left w:val="nil"/>
              <w:bottom w:val="nil"/>
              <w:right w:val="double" w:sz="6" w:space="0" w:color="000000"/>
            </w:tcBorders>
            <w:shd w:val="clear" w:color="auto" w:fill="auto"/>
            <w:tcMar>
              <w:top w:w="15" w:type="dxa"/>
              <w:left w:w="15" w:type="dxa"/>
              <w:bottom w:w="0" w:type="dxa"/>
              <w:right w:w="15" w:type="dxa"/>
            </w:tcMar>
            <w:vAlign w:val="bottom"/>
            <w:hideMark/>
          </w:tcPr>
          <w:p w:rsidR="00AC7FE6" w:rsidRPr="00AC7FE6" w:rsidRDefault="00AC7FE6" w:rsidP="00394456">
            <w:pPr>
              <w:textAlignment w:val="bottom"/>
              <w:rPr>
                <w:rFonts w:ascii="Cambria" w:hAnsi="Cambria" w:cs="Arial"/>
              </w:rPr>
            </w:pPr>
            <w:r w:rsidRPr="00AC7FE6">
              <w:rPr>
                <w:rFonts w:ascii="Cambria" w:hAnsi="Cambria" w:cs="Arial"/>
                <w:bCs/>
                <w:color w:val="000000"/>
                <w:kern w:val="24"/>
              </w:rPr>
              <w:t>Private 2-year</w:t>
            </w:r>
          </w:p>
        </w:tc>
        <w:tc>
          <w:tcPr>
            <w:tcW w:w="2700" w:type="dxa"/>
            <w:tcBorders>
              <w:top w:val="single" w:sz="4" w:space="0" w:color="BFBFBF"/>
              <w:left w:val="double" w:sz="6" w:space="0" w:color="000000"/>
              <w:bottom w:val="single" w:sz="4" w:space="0" w:color="BFBFBF"/>
              <w:right w:val="single" w:sz="12" w:space="0" w:color="FF0000"/>
            </w:tcBorders>
            <w:shd w:val="clear" w:color="auto" w:fill="auto"/>
            <w:tcMar>
              <w:top w:w="15" w:type="dxa"/>
              <w:left w:w="15" w:type="dxa"/>
              <w:bottom w:w="0" w:type="dxa"/>
              <w:right w:w="15" w:type="dxa"/>
            </w:tcMar>
            <w:vAlign w:val="bottom"/>
            <w:hideMark/>
          </w:tcPr>
          <w:p w:rsidR="00AC7FE6" w:rsidRPr="001E61F1" w:rsidRDefault="00AC7FE6" w:rsidP="00394456">
            <w:pPr>
              <w:jc w:val="center"/>
              <w:textAlignment w:val="bottom"/>
              <w:rPr>
                <w:rFonts w:ascii="Arial" w:hAnsi="Arial" w:cs="Arial"/>
              </w:rPr>
            </w:pPr>
            <w:r w:rsidRPr="001E61F1">
              <w:rPr>
                <w:rFonts w:cs="Arial"/>
                <w:color w:val="000000"/>
                <w:kern w:val="24"/>
              </w:rPr>
              <w:t>0</w:t>
            </w:r>
          </w:p>
        </w:tc>
        <w:tc>
          <w:tcPr>
            <w:tcW w:w="2700" w:type="dxa"/>
            <w:tcBorders>
              <w:top w:val="single" w:sz="4" w:space="0" w:color="BFBFBF"/>
              <w:left w:val="double" w:sz="6" w:space="0" w:color="000000"/>
              <w:bottom w:val="single" w:sz="4" w:space="0" w:color="BFBFBF"/>
              <w:right w:val="double" w:sz="6" w:space="0" w:color="000000"/>
            </w:tcBorders>
          </w:tcPr>
          <w:p w:rsidR="00AC7FE6" w:rsidRPr="001E61F1" w:rsidRDefault="00AC7FE6" w:rsidP="00394456">
            <w:pPr>
              <w:jc w:val="center"/>
              <w:textAlignment w:val="bottom"/>
              <w:rPr>
                <w:rFonts w:cs="Arial"/>
                <w:color w:val="000000"/>
                <w:kern w:val="24"/>
              </w:rPr>
            </w:pPr>
            <w:r>
              <w:rPr>
                <w:rFonts w:cs="Arial"/>
                <w:color w:val="000000"/>
                <w:kern w:val="24"/>
              </w:rPr>
              <w:t>0</w:t>
            </w:r>
          </w:p>
        </w:tc>
      </w:tr>
      <w:tr w:rsidR="00AC7FE6" w:rsidRPr="001E61F1" w:rsidTr="00394456">
        <w:trPr>
          <w:trHeight w:val="364"/>
        </w:trPr>
        <w:tc>
          <w:tcPr>
            <w:tcW w:w="3705" w:type="dxa"/>
            <w:tcBorders>
              <w:top w:val="nil"/>
              <w:left w:val="nil"/>
              <w:bottom w:val="nil"/>
              <w:right w:val="double" w:sz="6" w:space="0" w:color="000000"/>
            </w:tcBorders>
            <w:shd w:val="clear" w:color="auto" w:fill="auto"/>
            <w:tcMar>
              <w:top w:w="15" w:type="dxa"/>
              <w:left w:w="15" w:type="dxa"/>
              <w:bottom w:w="0" w:type="dxa"/>
              <w:right w:w="15" w:type="dxa"/>
            </w:tcMar>
            <w:vAlign w:val="bottom"/>
            <w:hideMark/>
          </w:tcPr>
          <w:p w:rsidR="00AC7FE6" w:rsidRPr="00AC7FE6" w:rsidRDefault="00AC7FE6" w:rsidP="00394456">
            <w:pPr>
              <w:textAlignment w:val="bottom"/>
              <w:rPr>
                <w:rFonts w:ascii="Cambria" w:hAnsi="Cambria" w:cs="Arial"/>
              </w:rPr>
            </w:pPr>
            <w:r w:rsidRPr="00AC7FE6">
              <w:rPr>
                <w:rFonts w:ascii="Cambria" w:hAnsi="Cambria" w:cs="Arial"/>
                <w:bCs/>
                <w:color w:val="000000"/>
                <w:kern w:val="24"/>
              </w:rPr>
              <w:t>Non-Profit</w:t>
            </w:r>
          </w:p>
        </w:tc>
        <w:tc>
          <w:tcPr>
            <w:tcW w:w="2700" w:type="dxa"/>
            <w:tcBorders>
              <w:top w:val="single" w:sz="4" w:space="0" w:color="BFBFBF"/>
              <w:left w:val="double" w:sz="6" w:space="0" w:color="000000"/>
              <w:bottom w:val="single" w:sz="4" w:space="0" w:color="BFBFBF"/>
              <w:right w:val="single" w:sz="12" w:space="0" w:color="FF0000"/>
            </w:tcBorders>
            <w:shd w:val="clear" w:color="auto" w:fill="auto"/>
            <w:tcMar>
              <w:top w:w="15" w:type="dxa"/>
              <w:left w:w="15" w:type="dxa"/>
              <w:bottom w:w="0" w:type="dxa"/>
              <w:right w:w="15" w:type="dxa"/>
            </w:tcMar>
            <w:vAlign w:val="bottom"/>
            <w:hideMark/>
          </w:tcPr>
          <w:p w:rsidR="00AC7FE6" w:rsidRPr="001E61F1" w:rsidRDefault="00AC7FE6" w:rsidP="00394456">
            <w:pPr>
              <w:jc w:val="center"/>
              <w:textAlignment w:val="bottom"/>
              <w:rPr>
                <w:rFonts w:ascii="Arial" w:hAnsi="Arial" w:cs="Arial"/>
              </w:rPr>
            </w:pPr>
            <w:r>
              <w:rPr>
                <w:rFonts w:cs="Arial"/>
                <w:color w:val="000000"/>
                <w:kern w:val="24"/>
              </w:rPr>
              <w:t xml:space="preserve">279 </w:t>
            </w:r>
          </w:p>
        </w:tc>
        <w:tc>
          <w:tcPr>
            <w:tcW w:w="2700" w:type="dxa"/>
            <w:tcBorders>
              <w:top w:val="single" w:sz="4" w:space="0" w:color="BFBFBF"/>
              <w:left w:val="double" w:sz="6" w:space="0" w:color="000000"/>
              <w:bottom w:val="single" w:sz="4" w:space="0" w:color="BFBFBF"/>
              <w:right w:val="double" w:sz="6" w:space="0" w:color="000000"/>
            </w:tcBorders>
          </w:tcPr>
          <w:p w:rsidR="00AC7FE6" w:rsidRDefault="00AC7FE6" w:rsidP="00394456">
            <w:pPr>
              <w:jc w:val="center"/>
              <w:textAlignment w:val="bottom"/>
              <w:rPr>
                <w:rFonts w:cs="Arial"/>
                <w:color w:val="000000"/>
                <w:kern w:val="24"/>
              </w:rPr>
            </w:pPr>
            <w:r>
              <w:rPr>
                <w:rFonts w:cs="Arial"/>
                <w:color w:val="000000"/>
                <w:kern w:val="24"/>
              </w:rPr>
              <w:t>5%</w:t>
            </w:r>
          </w:p>
        </w:tc>
      </w:tr>
      <w:tr w:rsidR="00AC7FE6" w:rsidRPr="001E61F1" w:rsidTr="00394456">
        <w:trPr>
          <w:trHeight w:val="364"/>
        </w:trPr>
        <w:tc>
          <w:tcPr>
            <w:tcW w:w="3705" w:type="dxa"/>
            <w:tcBorders>
              <w:top w:val="nil"/>
              <w:left w:val="nil"/>
              <w:bottom w:val="single" w:sz="4" w:space="0" w:color="000000"/>
              <w:right w:val="double" w:sz="6" w:space="0" w:color="000000"/>
            </w:tcBorders>
            <w:shd w:val="clear" w:color="auto" w:fill="auto"/>
            <w:tcMar>
              <w:top w:w="15" w:type="dxa"/>
              <w:left w:w="15" w:type="dxa"/>
              <w:bottom w:w="0" w:type="dxa"/>
              <w:right w:w="15" w:type="dxa"/>
            </w:tcMar>
            <w:vAlign w:val="bottom"/>
            <w:hideMark/>
          </w:tcPr>
          <w:p w:rsidR="00AC7FE6" w:rsidRPr="00AC7FE6" w:rsidRDefault="00AC7FE6" w:rsidP="00394456">
            <w:pPr>
              <w:textAlignment w:val="bottom"/>
              <w:rPr>
                <w:rFonts w:ascii="Cambria" w:hAnsi="Cambria" w:cs="Arial"/>
              </w:rPr>
            </w:pPr>
            <w:r w:rsidRPr="00AC7FE6">
              <w:rPr>
                <w:rFonts w:ascii="Cambria" w:hAnsi="Cambria" w:cs="Arial"/>
                <w:bCs/>
                <w:color w:val="000000"/>
                <w:kern w:val="24"/>
              </w:rPr>
              <w:t>For-Profit</w:t>
            </w:r>
          </w:p>
        </w:tc>
        <w:tc>
          <w:tcPr>
            <w:tcW w:w="2700" w:type="dxa"/>
            <w:tcBorders>
              <w:top w:val="single" w:sz="4" w:space="0" w:color="BFBFBF"/>
              <w:left w:val="double" w:sz="6" w:space="0" w:color="000000"/>
              <w:bottom w:val="single" w:sz="4" w:space="0" w:color="000000"/>
              <w:right w:val="single" w:sz="12" w:space="0" w:color="FF0000"/>
            </w:tcBorders>
            <w:shd w:val="clear" w:color="auto" w:fill="auto"/>
            <w:tcMar>
              <w:top w:w="15" w:type="dxa"/>
              <w:left w:w="15" w:type="dxa"/>
              <w:bottom w:w="0" w:type="dxa"/>
              <w:right w:w="15" w:type="dxa"/>
            </w:tcMar>
            <w:vAlign w:val="bottom"/>
            <w:hideMark/>
          </w:tcPr>
          <w:p w:rsidR="00AC7FE6" w:rsidRPr="001E61F1" w:rsidRDefault="00AC7FE6" w:rsidP="00394456">
            <w:pPr>
              <w:jc w:val="center"/>
              <w:textAlignment w:val="bottom"/>
              <w:rPr>
                <w:rFonts w:ascii="Arial" w:hAnsi="Arial" w:cs="Arial"/>
              </w:rPr>
            </w:pPr>
            <w:r>
              <w:rPr>
                <w:rFonts w:cs="Arial"/>
                <w:color w:val="000000"/>
                <w:kern w:val="24"/>
              </w:rPr>
              <w:t xml:space="preserve">19 </w:t>
            </w:r>
          </w:p>
        </w:tc>
        <w:tc>
          <w:tcPr>
            <w:tcW w:w="2700" w:type="dxa"/>
            <w:tcBorders>
              <w:top w:val="single" w:sz="4" w:space="0" w:color="BFBFBF"/>
              <w:left w:val="double" w:sz="6" w:space="0" w:color="000000"/>
              <w:bottom w:val="single" w:sz="4" w:space="0" w:color="000000"/>
              <w:right w:val="double" w:sz="6" w:space="0" w:color="000000"/>
            </w:tcBorders>
          </w:tcPr>
          <w:p w:rsidR="00AC7FE6" w:rsidRDefault="00AC7FE6" w:rsidP="00394456">
            <w:pPr>
              <w:jc w:val="center"/>
              <w:textAlignment w:val="bottom"/>
              <w:rPr>
                <w:rFonts w:cs="Arial"/>
                <w:color w:val="000000"/>
                <w:kern w:val="24"/>
              </w:rPr>
            </w:pPr>
            <w:r>
              <w:rPr>
                <w:rFonts w:cs="Arial"/>
                <w:color w:val="000000"/>
                <w:kern w:val="24"/>
              </w:rPr>
              <w:t>1%</w:t>
            </w:r>
          </w:p>
        </w:tc>
      </w:tr>
      <w:tr w:rsidR="00AC7FE6" w:rsidRPr="001E61F1" w:rsidTr="00394456">
        <w:trPr>
          <w:trHeight w:val="364"/>
        </w:trPr>
        <w:tc>
          <w:tcPr>
            <w:tcW w:w="3705" w:type="dxa"/>
            <w:tcBorders>
              <w:top w:val="single" w:sz="4" w:space="0" w:color="000000"/>
              <w:left w:val="nil"/>
              <w:bottom w:val="nil"/>
              <w:right w:val="double" w:sz="6" w:space="0" w:color="000000"/>
            </w:tcBorders>
            <w:shd w:val="clear" w:color="auto" w:fill="auto"/>
            <w:tcMar>
              <w:top w:w="15" w:type="dxa"/>
              <w:left w:w="15" w:type="dxa"/>
              <w:bottom w:w="0" w:type="dxa"/>
              <w:right w:w="15" w:type="dxa"/>
            </w:tcMar>
            <w:vAlign w:val="bottom"/>
            <w:hideMark/>
          </w:tcPr>
          <w:p w:rsidR="00AC7FE6" w:rsidRPr="001E61F1" w:rsidRDefault="00AC7FE6" w:rsidP="00394456">
            <w:pPr>
              <w:textAlignment w:val="bottom"/>
              <w:rPr>
                <w:rFonts w:ascii="Arial" w:hAnsi="Arial" w:cs="Arial"/>
              </w:rPr>
            </w:pPr>
            <w:r w:rsidRPr="001E61F1">
              <w:rPr>
                <w:rFonts w:cs="Arial"/>
                <w:color w:val="000000"/>
                <w:kern w:val="24"/>
              </w:rPr>
              <w:t>TOTAL</w:t>
            </w:r>
          </w:p>
        </w:tc>
        <w:tc>
          <w:tcPr>
            <w:tcW w:w="2700" w:type="dxa"/>
            <w:tcBorders>
              <w:top w:val="single" w:sz="4" w:space="0" w:color="000000"/>
              <w:left w:val="double" w:sz="6" w:space="0" w:color="000000"/>
              <w:bottom w:val="double" w:sz="6" w:space="0" w:color="000000"/>
              <w:right w:val="single" w:sz="12" w:space="0" w:color="FF0000"/>
            </w:tcBorders>
            <w:shd w:val="clear" w:color="auto" w:fill="auto"/>
            <w:tcMar>
              <w:top w:w="15" w:type="dxa"/>
              <w:left w:w="15" w:type="dxa"/>
              <w:bottom w:w="0" w:type="dxa"/>
              <w:right w:w="15" w:type="dxa"/>
            </w:tcMar>
            <w:vAlign w:val="bottom"/>
            <w:hideMark/>
          </w:tcPr>
          <w:p w:rsidR="00AC7FE6" w:rsidRPr="001E61F1" w:rsidRDefault="00AC7FE6" w:rsidP="00394456">
            <w:pPr>
              <w:jc w:val="center"/>
              <w:textAlignment w:val="bottom"/>
              <w:rPr>
                <w:rFonts w:ascii="Arial" w:hAnsi="Arial" w:cs="Arial"/>
              </w:rPr>
            </w:pPr>
            <w:r>
              <w:rPr>
                <w:rFonts w:cs="Arial"/>
                <w:color w:val="000000"/>
                <w:kern w:val="24"/>
              </w:rPr>
              <w:t>5,222</w:t>
            </w:r>
          </w:p>
        </w:tc>
        <w:tc>
          <w:tcPr>
            <w:tcW w:w="2700" w:type="dxa"/>
            <w:tcBorders>
              <w:top w:val="single" w:sz="4" w:space="0" w:color="000000"/>
              <w:left w:val="double" w:sz="6" w:space="0" w:color="000000"/>
              <w:bottom w:val="double" w:sz="6" w:space="0" w:color="000000"/>
              <w:right w:val="double" w:sz="6" w:space="0" w:color="000000"/>
            </w:tcBorders>
          </w:tcPr>
          <w:p w:rsidR="00AC7FE6" w:rsidRDefault="00AC7FE6" w:rsidP="00394456">
            <w:pPr>
              <w:jc w:val="center"/>
              <w:textAlignment w:val="bottom"/>
              <w:rPr>
                <w:rFonts w:cs="Arial"/>
                <w:color w:val="000000"/>
                <w:kern w:val="24"/>
              </w:rPr>
            </w:pPr>
            <w:r>
              <w:rPr>
                <w:rFonts w:cs="Arial"/>
                <w:color w:val="000000"/>
                <w:kern w:val="24"/>
              </w:rPr>
              <w:t>100%</w:t>
            </w:r>
          </w:p>
        </w:tc>
      </w:tr>
    </w:tbl>
    <w:p w:rsidR="00AC7FE6" w:rsidRPr="00CD0A16" w:rsidRDefault="00AC7FE6" w:rsidP="00AC7FE6">
      <w:pPr>
        <w:rPr>
          <w:rFonts w:asciiTheme="minorHAnsi" w:hAnsiTheme="minorHAnsi"/>
          <w:sz w:val="22"/>
          <w:szCs w:val="22"/>
        </w:rPr>
      </w:pPr>
    </w:p>
    <w:p w:rsidR="00AC7FE6" w:rsidRPr="00CD0A16" w:rsidRDefault="00AC7FE6" w:rsidP="00AC7FE6">
      <w:pPr>
        <w:rPr>
          <w:rFonts w:asciiTheme="minorHAnsi" w:hAnsiTheme="minorHAnsi"/>
          <w:sz w:val="22"/>
          <w:szCs w:val="22"/>
        </w:rPr>
      </w:pPr>
    </w:p>
    <w:p w:rsidR="00027F70" w:rsidRPr="00CD0A16" w:rsidRDefault="00AC7FE6" w:rsidP="00AC7FE6">
      <w:pPr>
        <w:rPr>
          <w:rFonts w:asciiTheme="minorHAnsi" w:hAnsiTheme="minorHAnsi" w:cs="Calibri"/>
          <w:b/>
          <w:sz w:val="22"/>
          <w:szCs w:val="22"/>
        </w:rPr>
      </w:pPr>
      <w:r w:rsidRPr="00CD0A16">
        <w:rPr>
          <w:rFonts w:asciiTheme="minorHAnsi" w:hAnsiTheme="minorHAnsi"/>
          <w:sz w:val="22"/>
          <w:szCs w:val="22"/>
        </w:rPr>
        <w:t>The</w:t>
      </w:r>
      <w:r w:rsidR="000E0F40">
        <w:rPr>
          <w:rFonts w:asciiTheme="minorHAnsi" w:hAnsiTheme="minorHAnsi"/>
          <w:sz w:val="22"/>
          <w:szCs w:val="22"/>
        </w:rPr>
        <w:t xml:space="preserve"> numbers above </w:t>
      </w:r>
      <w:bookmarkStart w:id="0" w:name="_GoBack"/>
      <w:bookmarkEnd w:id="0"/>
      <w:r w:rsidRPr="00CD0A16">
        <w:rPr>
          <w:rFonts w:asciiTheme="minorHAnsi" w:hAnsiTheme="minorHAnsi"/>
          <w:sz w:val="22"/>
          <w:szCs w:val="22"/>
        </w:rPr>
        <w:t>are based on the first school listed on the Dream Act Application so they do not necessarily represent where student will actually attend</w:t>
      </w:r>
      <w:r w:rsidR="00B95CDC" w:rsidRPr="00CD0A16">
        <w:rPr>
          <w:rFonts w:asciiTheme="minorHAnsi" w:hAnsiTheme="minorHAnsi"/>
          <w:sz w:val="22"/>
          <w:szCs w:val="22"/>
        </w:rPr>
        <w:t>.  Also, as of this date, only High School Entitlement awards (E1) have been offered.  The Community College Transfer Entitlement awards (E2) will be offered in May with Cal Grant C to be offered in June.</w:t>
      </w:r>
    </w:p>
    <w:p w:rsidR="00027F70" w:rsidRPr="00CD0A16" w:rsidRDefault="00027F70" w:rsidP="00027F70">
      <w:pPr>
        <w:rPr>
          <w:rFonts w:asciiTheme="minorHAnsi" w:hAnsiTheme="minorHAnsi" w:cs="Calibri"/>
          <w:sz w:val="22"/>
          <w:szCs w:val="22"/>
        </w:rPr>
      </w:pPr>
    </w:p>
    <w:p w:rsidR="00027F70" w:rsidRPr="002972D3" w:rsidRDefault="002972D3" w:rsidP="00027F70">
      <w:pPr>
        <w:rPr>
          <w:rFonts w:asciiTheme="minorHAnsi" w:hAnsiTheme="minorHAnsi" w:cs="Calibri"/>
          <w:b/>
          <w:sz w:val="22"/>
          <w:szCs w:val="22"/>
        </w:rPr>
      </w:pPr>
      <w:r w:rsidRPr="002972D3">
        <w:rPr>
          <w:rFonts w:asciiTheme="minorHAnsi" w:hAnsiTheme="minorHAnsi" w:cs="Calibri"/>
          <w:b/>
          <w:sz w:val="22"/>
          <w:szCs w:val="22"/>
        </w:rPr>
        <w:t>Recent Commission Meeting</w:t>
      </w:r>
    </w:p>
    <w:p w:rsidR="002972D3" w:rsidRPr="00CD0A16" w:rsidRDefault="002972D3" w:rsidP="00027F70">
      <w:pPr>
        <w:rPr>
          <w:rFonts w:asciiTheme="minorHAnsi" w:hAnsiTheme="minorHAnsi" w:cs="Calibri"/>
          <w:sz w:val="22"/>
          <w:szCs w:val="22"/>
        </w:rPr>
      </w:pPr>
    </w:p>
    <w:p w:rsidR="00B95CDC" w:rsidRPr="00CD0A16" w:rsidRDefault="00B95CDC" w:rsidP="00027F70">
      <w:pPr>
        <w:rPr>
          <w:rFonts w:asciiTheme="minorHAnsi" w:hAnsiTheme="minorHAnsi" w:cs="Calibri"/>
          <w:sz w:val="22"/>
          <w:szCs w:val="22"/>
        </w:rPr>
      </w:pPr>
      <w:r w:rsidRPr="00CD0A16">
        <w:rPr>
          <w:rFonts w:asciiTheme="minorHAnsi" w:hAnsiTheme="minorHAnsi" w:cs="Calibri"/>
          <w:sz w:val="22"/>
          <w:szCs w:val="22"/>
        </w:rPr>
        <w:t xml:space="preserve">The April 25 – 26 Student Aid Commission meeting was held at the Commission’s new facilities in Rancho Cordova.  Discussions were held on the </w:t>
      </w:r>
      <w:proofErr w:type="gramStart"/>
      <w:r w:rsidR="00235191" w:rsidRPr="00CD0A16">
        <w:rPr>
          <w:rFonts w:asciiTheme="minorHAnsi" w:hAnsiTheme="minorHAnsi" w:cs="Calibri"/>
          <w:sz w:val="22"/>
          <w:szCs w:val="22"/>
        </w:rPr>
        <w:t xml:space="preserve">several </w:t>
      </w:r>
      <w:r w:rsidRPr="00CD0A16">
        <w:rPr>
          <w:rFonts w:asciiTheme="minorHAnsi" w:hAnsiTheme="minorHAnsi" w:cs="Calibri"/>
          <w:sz w:val="22"/>
          <w:szCs w:val="22"/>
        </w:rPr>
        <w:t xml:space="preserve"> topics</w:t>
      </w:r>
      <w:proofErr w:type="gramEnd"/>
      <w:r w:rsidR="00235191" w:rsidRPr="00CD0A16">
        <w:rPr>
          <w:rFonts w:asciiTheme="minorHAnsi" w:hAnsiTheme="minorHAnsi" w:cs="Calibri"/>
          <w:sz w:val="22"/>
          <w:szCs w:val="22"/>
        </w:rPr>
        <w:t>, including p</w:t>
      </w:r>
      <w:r w:rsidRPr="00CD0A16">
        <w:rPr>
          <w:rFonts w:asciiTheme="minorHAnsi" w:hAnsiTheme="minorHAnsi" w:cs="Calibri"/>
          <w:sz w:val="22"/>
          <w:szCs w:val="22"/>
        </w:rPr>
        <w:t xml:space="preserve">ending legislation that would affect the Cal Grant </w:t>
      </w:r>
      <w:r w:rsidR="00235191" w:rsidRPr="00CD0A16">
        <w:rPr>
          <w:rFonts w:asciiTheme="minorHAnsi" w:hAnsiTheme="minorHAnsi" w:cs="Calibri"/>
          <w:sz w:val="22"/>
          <w:szCs w:val="22"/>
        </w:rPr>
        <w:t xml:space="preserve">program and a </w:t>
      </w:r>
      <w:r w:rsidRPr="00CD0A16">
        <w:rPr>
          <w:rFonts w:asciiTheme="minorHAnsi" w:hAnsiTheme="minorHAnsi" w:cs="Calibri"/>
          <w:sz w:val="22"/>
          <w:szCs w:val="22"/>
        </w:rPr>
        <w:t xml:space="preserve">report on the effects of the possible loss of the </w:t>
      </w:r>
      <w:r w:rsidRPr="00CD0A16">
        <w:rPr>
          <w:rFonts w:asciiTheme="minorHAnsi" w:hAnsiTheme="minorHAnsi" w:cs="Calibri"/>
          <w:sz w:val="22"/>
          <w:szCs w:val="22"/>
        </w:rPr>
        <w:lastRenderedPageBreak/>
        <w:t xml:space="preserve">federal College </w:t>
      </w:r>
      <w:r w:rsidR="00235191" w:rsidRPr="00CD0A16">
        <w:rPr>
          <w:rFonts w:asciiTheme="minorHAnsi" w:hAnsiTheme="minorHAnsi" w:cs="Calibri"/>
          <w:sz w:val="22"/>
          <w:szCs w:val="22"/>
        </w:rPr>
        <w:t xml:space="preserve">Access </w:t>
      </w:r>
      <w:r w:rsidRPr="00CD0A16">
        <w:rPr>
          <w:rFonts w:asciiTheme="minorHAnsi" w:hAnsiTheme="minorHAnsi" w:cs="Calibri"/>
          <w:sz w:val="22"/>
          <w:szCs w:val="22"/>
        </w:rPr>
        <w:t xml:space="preserve">Challenge Grant on the Commission’s outreach programs including funding for the Cal-Soap </w:t>
      </w:r>
      <w:r w:rsidR="00235191" w:rsidRPr="00CD0A16">
        <w:rPr>
          <w:rFonts w:asciiTheme="minorHAnsi" w:hAnsiTheme="minorHAnsi" w:cs="Calibri"/>
          <w:sz w:val="22"/>
          <w:szCs w:val="22"/>
        </w:rPr>
        <w:t>c</w:t>
      </w:r>
      <w:r w:rsidRPr="00CD0A16">
        <w:rPr>
          <w:rFonts w:asciiTheme="minorHAnsi" w:hAnsiTheme="minorHAnsi" w:cs="Calibri"/>
          <w:sz w:val="22"/>
          <w:szCs w:val="22"/>
        </w:rPr>
        <w:t>onsortia.</w:t>
      </w:r>
    </w:p>
    <w:p w:rsidR="00235191" w:rsidRPr="00CD0A16" w:rsidRDefault="00235191" w:rsidP="00027F70">
      <w:pPr>
        <w:rPr>
          <w:rFonts w:asciiTheme="minorHAnsi" w:hAnsiTheme="minorHAnsi" w:cs="Calibri"/>
          <w:sz w:val="22"/>
          <w:szCs w:val="22"/>
        </w:rPr>
      </w:pPr>
    </w:p>
    <w:p w:rsidR="00B95CDC" w:rsidRPr="00CD0A16" w:rsidRDefault="00B95CDC" w:rsidP="00027F70">
      <w:pPr>
        <w:rPr>
          <w:rFonts w:asciiTheme="minorHAnsi" w:hAnsiTheme="minorHAnsi" w:cs="Calibri"/>
          <w:sz w:val="22"/>
          <w:szCs w:val="22"/>
        </w:rPr>
      </w:pPr>
      <w:r w:rsidRPr="00CD0A16">
        <w:rPr>
          <w:rFonts w:asciiTheme="minorHAnsi" w:hAnsiTheme="minorHAnsi" w:cs="Calibri"/>
          <w:sz w:val="22"/>
          <w:szCs w:val="22"/>
        </w:rPr>
        <w:t>The Institute for College Access and Success (TICAS) issued a</w:t>
      </w:r>
      <w:r w:rsidR="00235191" w:rsidRPr="00CD0A16">
        <w:rPr>
          <w:rFonts w:asciiTheme="minorHAnsi" w:hAnsiTheme="minorHAnsi" w:cs="Calibri"/>
          <w:sz w:val="22"/>
          <w:szCs w:val="22"/>
        </w:rPr>
        <w:t xml:space="preserve"> report recently on suggestions to improve the Cal Grant program and, in particular, how to better target low income students.  One suggestion was to explore ways to increase the “take rate” of the Competitive Cal Grant which has been actually been paid out at a rate of about 70% for several years.</w:t>
      </w:r>
    </w:p>
    <w:p w:rsidR="00B95CDC" w:rsidRPr="00CD0A16" w:rsidRDefault="00B95CDC" w:rsidP="00027F70">
      <w:pPr>
        <w:rPr>
          <w:rFonts w:asciiTheme="minorHAnsi" w:hAnsiTheme="minorHAnsi" w:cs="Calibri"/>
          <w:sz w:val="22"/>
          <w:szCs w:val="22"/>
        </w:rPr>
      </w:pPr>
    </w:p>
    <w:p w:rsidR="00B95CDC" w:rsidRPr="00CD0A16" w:rsidRDefault="00B95CDC" w:rsidP="00027F70">
      <w:pPr>
        <w:rPr>
          <w:rFonts w:asciiTheme="minorHAnsi" w:hAnsiTheme="minorHAnsi" w:cs="Calibri"/>
          <w:sz w:val="22"/>
          <w:szCs w:val="22"/>
        </w:rPr>
      </w:pPr>
      <w:r w:rsidRPr="00CD0A16">
        <w:rPr>
          <w:rFonts w:asciiTheme="minorHAnsi" w:hAnsiTheme="minorHAnsi" w:cs="Calibri"/>
          <w:sz w:val="22"/>
          <w:szCs w:val="22"/>
        </w:rPr>
        <w:t>The Student Aid Commission has been conserva</w:t>
      </w:r>
      <w:r w:rsidR="005E6927" w:rsidRPr="00CD0A16">
        <w:rPr>
          <w:rFonts w:asciiTheme="minorHAnsi" w:hAnsiTheme="minorHAnsi" w:cs="Calibri"/>
          <w:sz w:val="22"/>
          <w:szCs w:val="22"/>
        </w:rPr>
        <w:t>tive in its award offered in th</w:t>
      </w:r>
      <w:r w:rsidRPr="00CD0A16">
        <w:rPr>
          <w:rFonts w:asciiTheme="minorHAnsi" w:hAnsiTheme="minorHAnsi" w:cs="Calibri"/>
          <w:sz w:val="22"/>
          <w:szCs w:val="22"/>
        </w:rPr>
        <w:t xml:space="preserve">is program because of </w:t>
      </w:r>
      <w:r w:rsidR="006625B4">
        <w:rPr>
          <w:rFonts w:asciiTheme="minorHAnsi" w:hAnsiTheme="minorHAnsi" w:cs="Calibri"/>
          <w:sz w:val="22"/>
          <w:szCs w:val="22"/>
        </w:rPr>
        <w:t xml:space="preserve">the </w:t>
      </w:r>
      <w:r w:rsidRPr="00CD0A16">
        <w:rPr>
          <w:rFonts w:asciiTheme="minorHAnsi" w:hAnsiTheme="minorHAnsi" w:cs="Calibri"/>
          <w:sz w:val="22"/>
          <w:szCs w:val="22"/>
        </w:rPr>
        <w:t>consequences of over spending.</w:t>
      </w:r>
      <w:r w:rsidR="00235191" w:rsidRPr="00CD0A16">
        <w:rPr>
          <w:rFonts w:asciiTheme="minorHAnsi" w:hAnsiTheme="minorHAnsi" w:cs="Calibri"/>
          <w:sz w:val="22"/>
          <w:szCs w:val="22"/>
        </w:rPr>
        <w:t xml:space="preserve">  However, the Commissioners asked staff to provide more award offers so that when the with the take rate is applied for the higher number of offers the actual paid awards get closer to the statutorily authorized paid awards.</w:t>
      </w:r>
    </w:p>
    <w:p w:rsidR="00235191" w:rsidRPr="00CD0A16" w:rsidRDefault="00235191" w:rsidP="00027F70">
      <w:pPr>
        <w:rPr>
          <w:rFonts w:asciiTheme="minorHAnsi" w:hAnsiTheme="minorHAnsi" w:cs="Calibri"/>
          <w:sz w:val="22"/>
          <w:szCs w:val="22"/>
        </w:rPr>
      </w:pPr>
    </w:p>
    <w:p w:rsidR="00235191" w:rsidRDefault="00235191" w:rsidP="00027F70">
      <w:pPr>
        <w:rPr>
          <w:rFonts w:asciiTheme="minorHAnsi" w:hAnsiTheme="minorHAnsi" w:cs="Calibri"/>
          <w:sz w:val="22"/>
          <w:szCs w:val="22"/>
        </w:rPr>
      </w:pPr>
      <w:r w:rsidRPr="00CD0A16">
        <w:rPr>
          <w:rFonts w:asciiTheme="minorHAnsi" w:hAnsiTheme="minorHAnsi" w:cs="Calibri"/>
          <w:sz w:val="22"/>
          <w:szCs w:val="22"/>
        </w:rPr>
        <w:t xml:space="preserve">The Commission agenda and issues analysis are available on the Commission’s website at </w:t>
      </w:r>
      <w:hyperlink r:id="rId6" w:history="1">
        <w:r w:rsidR="002972D3" w:rsidRPr="00946EAE">
          <w:rPr>
            <w:rStyle w:val="Hyperlink"/>
            <w:rFonts w:asciiTheme="minorHAnsi" w:hAnsiTheme="minorHAnsi" w:cs="Calibri"/>
            <w:sz w:val="22"/>
            <w:szCs w:val="22"/>
          </w:rPr>
          <w:t>http://www.csac.ca.gov/doc.asp?ID=1448</w:t>
        </w:r>
      </w:hyperlink>
    </w:p>
    <w:p w:rsidR="002972D3" w:rsidRDefault="002972D3" w:rsidP="00027F70">
      <w:pPr>
        <w:rPr>
          <w:rFonts w:asciiTheme="minorHAnsi" w:hAnsiTheme="minorHAnsi" w:cs="Calibri"/>
          <w:sz w:val="22"/>
          <w:szCs w:val="22"/>
        </w:rPr>
      </w:pPr>
    </w:p>
    <w:p w:rsidR="002972D3" w:rsidRPr="00CD0A16" w:rsidRDefault="002972D3" w:rsidP="00027F70">
      <w:pPr>
        <w:rPr>
          <w:rFonts w:asciiTheme="minorHAnsi" w:hAnsiTheme="minorHAnsi" w:cs="Calibri"/>
          <w:sz w:val="22"/>
          <w:szCs w:val="22"/>
        </w:rPr>
      </w:pPr>
    </w:p>
    <w:p w:rsidR="00027F70" w:rsidRPr="00027F70" w:rsidRDefault="00027F70" w:rsidP="00027F70">
      <w:pPr>
        <w:rPr>
          <w:rFonts w:ascii="Calibri" w:hAnsi="Calibri" w:cs="Calibri"/>
          <w:sz w:val="22"/>
          <w:szCs w:val="22"/>
        </w:rPr>
      </w:pPr>
    </w:p>
    <w:p w:rsidR="00027F70" w:rsidRPr="00027F70" w:rsidRDefault="00027F70" w:rsidP="00027F70">
      <w:pPr>
        <w:rPr>
          <w:rFonts w:ascii="Calibri" w:hAnsi="Calibri" w:cs="Calibri"/>
          <w:b/>
          <w:color w:val="000000"/>
          <w:sz w:val="22"/>
          <w:szCs w:val="22"/>
        </w:rPr>
      </w:pPr>
    </w:p>
    <w:p w:rsidR="00027F70" w:rsidRPr="00027F70" w:rsidRDefault="00027F70" w:rsidP="00027F70">
      <w:pPr>
        <w:pStyle w:val="ListParagraph"/>
        <w:ind w:left="1440" w:hanging="360"/>
        <w:rPr>
          <w:rFonts w:ascii="Calibri" w:hAnsi="Calibri" w:cs="Calibri"/>
          <w:color w:val="000000"/>
          <w:sz w:val="22"/>
          <w:szCs w:val="22"/>
        </w:rPr>
      </w:pPr>
    </w:p>
    <w:p w:rsidR="00CF3729" w:rsidRPr="00F30E44" w:rsidRDefault="00CF3729" w:rsidP="00027F70">
      <w:pPr>
        <w:autoSpaceDE w:val="0"/>
        <w:autoSpaceDN w:val="0"/>
        <w:adjustRightInd w:val="0"/>
        <w:jc w:val="both"/>
        <w:rPr>
          <w:rFonts w:ascii="Calibri" w:hAnsi="Calibri" w:cs="Calibri"/>
          <w:sz w:val="22"/>
          <w:szCs w:val="22"/>
        </w:rPr>
      </w:pPr>
    </w:p>
    <w:sectPr w:rsidR="00CF3729" w:rsidRPr="00F30E4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4C4018"/>
    <w:multiLevelType w:val="hybridMultilevel"/>
    <w:tmpl w:val="E2E64AB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609792C"/>
    <w:multiLevelType w:val="hybridMultilevel"/>
    <w:tmpl w:val="B972C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6B1C90"/>
    <w:multiLevelType w:val="hybridMultilevel"/>
    <w:tmpl w:val="E384C4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9183449"/>
    <w:multiLevelType w:val="hybridMultilevel"/>
    <w:tmpl w:val="5F50E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A56708F"/>
    <w:multiLevelType w:val="hybridMultilevel"/>
    <w:tmpl w:val="FEA22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C165E9A"/>
    <w:multiLevelType w:val="hybridMultilevel"/>
    <w:tmpl w:val="EDC2E8F2"/>
    <w:lvl w:ilvl="0" w:tplc="1AF44F1C">
      <w:start w:val="1"/>
      <w:numFmt w:val="bullet"/>
      <w:lvlText w:val=""/>
      <w:lvlJc w:val="left"/>
      <w:pPr>
        <w:tabs>
          <w:tab w:val="num" w:pos="720"/>
        </w:tabs>
        <w:ind w:left="720" w:hanging="360"/>
      </w:pPr>
      <w:rPr>
        <w:rFonts w:ascii="Wingdings 2" w:hAnsi="Wingdings 2" w:hint="default"/>
      </w:rPr>
    </w:lvl>
    <w:lvl w:ilvl="1" w:tplc="5EBA6776">
      <w:start w:val="1"/>
      <w:numFmt w:val="bullet"/>
      <w:lvlText w:val=""/>
      <w:lvlJc w:val="left"/>
      <w:pPr>
        <w:tabs>
          <w:tab w:val="num" w:pos="1440"/>
        </w:tabs>
        <w:ind w:left="1440" w:hanging="360"/>
      </w:pPr>
      <w:rPr>
        <w:rFonts w:ascii="Wingdings 2" w:hAnsi="Wingdings 2" w:hint="default"/>
      </w:rPr>
    </w:lvl>
    <w:lvl w:ilvl="2" w:tplc="9D625B74">
      <w:start w:val="581"/>
      <w:numFmt w:val="bullet"/>
      <w:lvlText w:val=""/>
      <w:lvlJc w:val="left"/>
      <w:pPr>
        <w:tabs>
          <w:tab w:val="num" w:pos="2160"/>
        </w:tabs>
        <w:ind w:left="2160" w:hanging="360"/>
      </w:pPr>
      <w:rPr>
        <w:rFonts w:ascii="Wingdings 2" w:hAnsi="Wingdings 2" w:hint="default"/>
      </w:rPr>
    </w:lvl>
    <w:lvl w:ilvl="3" w:tplc="D966AAD2">
      <w:start w:val="1"/>
      <w:numFmt w:val="bullet"/>
      <w:lvlText w:val=""/>
      <w:lvlJc w:val="left"/>
      <w:pPr>
        <w:tabs>
          <w:tab w:val="num" w:pos="2880"/>
        </w:tabs>
        <w:ind w:left="2880" w:hanging="360"/>
      </w:pPr>
      <w:rPr>
        <w:rFonts w:ascii="Wingdings 2" w:hAnsi="Wingdings 2" w:hint="default"/>
      </w:rPr>
    </w:lvl>
    <w:lvl w:ilvl="4" w:tplc="B54EE864" w:tentative="1">
      <w:start w:val="1"/>
      <w:numFmt w:val="bullet"/>
      <w:lvlText w:val=""/>
      <w:lvlJc w:val="left"/>
      <w:pPr>
        <w:tabs>
          <w:tab w:val="num" w:pos="3600"/>
        </w:tabs>
        <w:ind w:left="3600" w:hanging="360"/>
      </w:pPr>
      <w:rPr>
        <w:rFonts w:ascii="Wingdings 2" w:hAnsi="Wingdings 2" w:hint="default"/>
      </w:rPr>
    </w:lvl>
    <w:lvl w:ilvl="5" w:tplc="0BF40248" w:tentative="1">
      <w:start w:val="1"/>
      <w:numFmt w:val="bullet"/>
      <w:lvlText w:val=""/>
      <w:lvlJc w:val="left"/>
      <w:pPr>
        <w:tabs>
          <w:tab w:val="num" w:pos="4320"/>
        </w:tabs>
        <w:ind w:left="4320" w:hanging="360"/>
      </w:pPr>
      <w:rPr>
        <w:rFonts w:ascii="Wingdings 2" w:hAnsi="Wingdings 2" w:hint="default"/>
      </w:rPr>
    </w:lvl>
    <w:lvl w:ilvl="6" w:tplc="EB141CAE" w:tentative="1">
      <w:start w:val="1"/>
      <w:numFmt w:val="bullet"/>
      <w:lvlText w:val=""/>
      <w:lvlJc w:val="left"/>
      <w:pPr>
        <w:tabs>
          <w:tab w:val="num" w:pos="5040"/>
        </w:tabs>
        <w:ind w:left="5040" w:hanging="360"/>
      </w:pPr>
      <w:rPr>
        <w:rFonts w:ascii="Wingdings 2" w:hAnsi="Wingdings 2" w:hint="default"/>
      </w:rPr>
    </w:lvl>
    <w:lvl w:ilvl="7" w:tplc="960AA732" w:tentative="1">
      <w:start w:val="1"/>
      <w:numFmt w:val="bullet"/>
      <w:lvlText w:val=""/>
      <w:lvlJc w:val="left"/>
      <w:pPr>
        <w:tabs>
          <w:tab w:val="num" w:pos="5760"/>
        </w:tabs>
        <w:ind w:left="5760" w:hanging="360"/>
      </w:pPr>
      <w:rPr>
        <w:rFonts w:ascii="Wingdings 2" w:hAnsi="Wingdings 2" w:hint="default"/>
      </w:rPr>
    </w:lvl>
    <w:lvl w:ilvl="8" w:tplc="B16E57A4" w:tentative="1">
      <w:start w:val="1"/>
      <w:numFmt w:val="bullet"/>
      <w:lvlText w:val=""/>
      <w:lvlJc w:val="left"/>
      <w:pPr>
        <w:tabs>
          <w:tab w:val="num" w:pos="6480"/>
        </w:tabs>
        <w:ind w:left="6480" w:hanging="360"/>
      </w:pPr>
      <w:rPr>
        <w:rFonts w:ascii="Wingdings 2" w:hAnsi="Wingdings 2" w:hint="default"/>
      </w:rPr>
    </w:lvl>
  </w:abstractNum>
  <w:abstractNum w:abstractNumId="6">
    <w:nsid w:val="3C541E8A"/>
    <w:multiLevelType w:val="hybridMultilevel"/>
    <w:tmpl w:val="78806530"/>
    <w:lvl w:ilvl="0" w:tplc="5FF0186C">
      <w:start w:val="1"/>
      <w:numFmt w:val="bullet"/>
      <w:lvlText w:val="◦"/>
      <w:lvlJc w:val="left"/>
      <w:pPr>
        <w:tabs>
          <w:tab w:val="num" w:pos="720"/>
        </w:tabs>
        <w:ind w:left="720" w:hanging="360"/>
      </w:pPr>
      <w:rPr>
        <w:rFonts w:ascii="Verdana" w:hAnsi="Verdana" w:hint="default"/>
      </w:rPr>
    </w:lvl>
    <w:lvl w:ilvl="1" w:tplc="325E90F4">
      <w:start w:val="1"/>
      <w:numFmt w:val="bullet"/>
      <w:lvlText w:val="◦"/>
      <w:lvlJc w:val="left"/>
      <w:pPr>
        <w:tabs>
          <w:tab w:val="num" w:pos="1440"/>
        </w:tabs>
        <w:ind w:left="1440" w:hanging="360"/>
      </w:pPr>
      <w:rPr>
        <w:rFonts w:ascii="Verdana" w:hAnsi="Verdana" w:hint="default"/>
      </w:rPr>
    </w:lvl>
    <w:lvl w:ilvl="2" w:tplc="773A5AF8" w:tentative="1">
      <w:start w:val="1"/>
      <w:numFmt w:val="bullet"/>
      <w:lvlText w:val="◦"/>
      <w:lvlJc w:val="left"/>
      <w:pPr>
        <w:tabs>
          <w:tab w:val="num" w:pos="2160"/>
        </w:tabs>
        <w:ind w:left="2160" w:hanging="360"/>
      </w:pPr>
      <w:rPr>
        <w:rFonts w:ascii="Verdana" w:hAnsi="Verdana" w:hint="default"/>
      </w:rPr>
    </w:lvl>
    <w:lvl w:ilvl="3" w:tplc="45705A84" w:tentative="1">
      <w:start w:val="1"/>
      <w:numFmt w:val="bullet"/>
      <w:lvlText w:val="◦"/>
      <w:lvlJc w:val="left"/>
      <w:pPr>
        <w:tabs>
          <w:tab w:val="num" w:pos="2880"/>
        </w:tabs>
        <w:ind w:left="2880" w:hanging="360"/>
      </w:pPr>
      <w:rPr>
        <w:rFonts w:ascii="Verdana" w:hAnsi="Verdana" w:hint="default"/>
      </w:rPr>
    </w:lvl>
    <w:lvl w:ilvl="4" w:tplc="103894F8" w:tentative="1">
      <w:start w:val="1"/>
      <w:numFmt w:val="bullet"/>
      <w:lvlText w:val="◦"/>
      <w:lvlJc w:val="left"/>
      <w:pPr>
        <w:tabs>
          <w:tab w:val="num" w:pos="3600"/>
        </w:tabs>
        <w:ind w:left="3600" w:hanging="360"/>
      </w:pPr>
      <w:rPr>
        <w:rFonts w:ascii="Verdana" w:hAnsi="Verdana" w:hint="default"/>
      </w:rPr>
    </w:lvl>
    <w:lvl w:ilvl="5" w:tplc="84761A8A" w:tentative="1">
      <w:start w:val="1"/>
      <w:numFmt w:val="bullet"/>
      <w:lvlText w:val="◦"/>
      <w:lvlJc w:val="left"/>
      <w:pPr>
        <w:tabs>
          <w:tab w:val="num" w:pos="4320"/>
        </w:tabs>
        <w:ind w:left="4320" w:hanging="360"/>
      </w:pPr>
      <w:rPr>
        <w:rFonts w:ascii="Verdana" w:hAnsi="Verdana" w:hint="default"/>
      </w:rPr>
    </w:lvl>
    <w:lvl w:ilvl="6" w:tplc="A6AA5FA8" w:tentative="1">
      <w:start w:val="1"/>
      <w:numFmt w:val="bullet"/>
      <w:lvlText w:val="◦"/>
      <w:lvlJc w:val="left"/>
      <w:pPr>
        <w:tabs>
          <w:tab w:val="num" w:pos="5040"/>
        </w:tabs>
        <w:ind w:left="5040" w:hanging="360"/>
      </w:pPr>
      <w:rPr>
        <w:rFonts w:ascii="Verdana" w:hAnsi="Verdana" w:hint="default"/>
      </w:rPr>
    </w:lvl>
    <w:lvl w:ilvl="7" w:tplc="193A455C" w:tentative="1">
      <w:start w:val="1"/>
      <w:numFmt w:val="bullet"/>
      <w:lvlText w:val="◦"/>
      <w:lvlJc w:val="left"/>
      <w:pPr>
        <w:tabs>
          <w:tab w:val="num" w:pos="5760"/>
        </w:tabs>
        <w:ind w:left="5760" w:hanging="360"/>
      </w:pPr>
      <w:rPr>
        <w:rFonts w:ascii="Verdana" w:hAnsi="Verdana" w:hint="default"/>
      </w:rPr>
    </w:lvl>
    <w:lvl w:ilvl="8" w:tplc="6388D15A" w:tentative="1">
      <w:start w:val="1"/>
      <w:numFmt w:val="bullet"/>
      <w:lvlText w:val="◦"/>
      <w:lvlJc w:val="left"/>
      <w:pPr>
        <w:tabs>
          <w:tab w:val="num" w:pos="6480"/>
        </w:tabs>
        <w:ind w:left="6480" w:hanging="360"/>
      </w:pPr>
      <w:rPr>
        <w:rFonts w:ascii="Verdana" w:hAnsi="Verdana" w:hint="default"/>
      </w:rPr>
    </w:lvl>
  </w:abstractNum>
  <w:abstractNum w:abstractNumId="7">
    <w:nsid w:val="4A154145"/>
    <w:multiLevelType w:val="hybridMultilevel"/>
    <w:tmpl w:val="7FC4FD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2F12B19"/>
    <w:multiLevelType w:val="hybridMultilevel"/>
    <w:tmpl w:val="71A0A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C77F6E"/>
    <w:multiLevelType w:val="hybridMultilevel"/>
    <w:tmpl w:val="C6A42BDE"/>
    <w:lvl w:ilvl="0" w:tplc="47B20062">
      <w:start w:val="1"/>
      <w:numFmt w:val="bullet"/>
      <w:lvlText w:val="◦"/>
      <w:lvlJc w:val="left"/>
      <w:pPr>
        <w:tabs>
          <w:tab w:val="num" w:pos="720"/>
        </w:tabs>
        <w:ind w:left="720" w:hanging="360"/>
      </w:pPr>
      <w:rPr>
        <w:rFonts w:ascii="Verdana" w:hAnsi="Verdana" w:hint="default"/>
      </w:rPr>
    </w:lvl>
    <w:lvl w:ilvl="1" w:tplc="FCC6031E">
      <w:start w:val="1"/>
      <w:numFmt w:val="bullet"/>
      <w:lvlText w:val="◦"/>
      <w:lvlJc w:val="left"/>
      <w:pPr>
        <w:tabs>
          <w:tab w:val="num" w:pos="1440"/>
        </w:tabs>
        <w:ind w:left="1440" w:hanging="360"/>
      </w:pPr>
      <w:rPr>
        <w:rFonts w:ascii="Verdana" w:hAnsi="Verdana" w:hint="default"/>
      </w:rPr>
    </w:lvl>
    <w:lvl w:ilvl="2" w:tplc="E0B4DED6" w:tentative="1">
      <w:start w:val="1"/>
      <w:numFmt w:val="bullet"/>
      <w:lvlText w:val="◦"/>
      <w:lvlJc w:val="left"/>
      <w:pPr>
        <w:tabs>
          <w:tab w:val="num" w:pos="2160"/>
        </w:tabs>
        <w:ind w:left="2160" w:hanging="360"/>
      </w:pPr>
      <w:rPr>
        <w:rFonts w:ascii="Verdana" w:hAnsi="Verdana" w:hint="default"/>
      </w:rPr>
    </w:lvl>
    <w:lvl w:ilvl="3" w:tplc="6F8496AA" w:tentative="1">
      <w:start w:val="1"/>
      <w:numFmt w:val="bullet"/>
      <w:lvlText w:val="◦"/>
      <w:lvlJc w:val="left"/>
      <w:pPr>
        <w:tabs>
          <w:tab w:val="num" w:pos="2880"/>
        </w:tabs>
        <w:ind w:left="2880" w:hanging="360"/>
      </w:pPr>
      <w:rPr>
        <w:rFonts w:ascii="Verdana" w:hAnsi="Verdana" w:hint="default"/>
      </w:rPr>
    </w:lvl>
    <w:lvl w:ilvl="4" w:tplc="8BFCA8C2" w:tentative="1">
      <w:start w:val="1"/>
      <w:numFmt w:val="bullet"/>
      <w:lvlText w:val="◦"/>
      <w:lvlJc w:val="left"/>
      <w:pPr>
        <w:tabs>
          <w:tab w:val="num" w:pos="3600"/>
        </w:tabs>
        <w:ind w:left="3600" w:hanging="360"/>
      </w:pPr>
      <w:rPr>
        <w:rFonts w:ascii="Verdana" w:hAnsi="Verdana" w:hint="default"/>
      </w:rPr>
    </w:lvl>
    <w:lvl w:ilvl="5" w:tplc="A6082AF4" w:tentative="1">
      <w:start w:val="1"/>
      <w:numFmt w:val="bullet"/>
      <w:lvlText w:val="◦"/>
      <w:lvlJc w:val="left"/>
      <w:pPr>
        <w:tabs>
          <w:tab w:val="num" w:pos="4320"/>
        </w:tabs>
        <w:ind w:left="4320" w:hanging="360"/>
      </w:pPr>
      <w:rPr>
        <w:rFonts w:ascii="Verdana" w:hAnsi="Verdana" w:hint="default"/>
      </w:rPr>
    </w:lvl>
    <w:lvl w:ilvl="6" w:tplc="178841CE" w:tentative="1">
      <w:start w:val="1"/>
      <w:numFmt w:val="bullet"/>
      <w:lvlText w:val="◦"/>
      <w:lvlJc w:val="left"/>
      <w:pPr>
        <w:tabs>
          <w:tab w:val="num" w:pos="5040"/>
        </w:tabs>
        <w:ind w:left="5040" w:hanging="360"/>
      </w:pPr>
      <w:rPr>
        <w:rFonts w:ascii="Verdana" w:hAnsi="Verdana" w:hint="default"/>
      </w:rPr>
    </w:lvl>
    <w:lvl w:ilvl="7" w:tplc="D03AC9F0" w:tentative="1">
      <w:start w:val="1"/>
      <w:numFmt w:val="bullet"/>
      <w:lvlText w:val="◦"/>
      <w:lvlJc w:val="left"/>
      <w:pPr>
        <w:tabs>
          <w:tab w:val="num" w:pos="5760"/>
        </w:tabs>
        <w:ind w:left="5760" w:hanging="360"/>
      </w:pPr>
      <w:rPr>
        <w:rFonts w:ascii="Verdana" w:hAnsi="Verdana" w:hint="default"/>
      </w:rPr>
    </w:lvl>
    <w:lvl w:ilvl="8" w:tplc="B4189296" w:tentative="1">
      <w:start w:val="1"/>
      <w:numFmt w:val="bullet"/>
      <w:lvlText w:val="◦"/>
      <w:lvlJc w:val="left"/>
      <w:pPr>
        <w:tabs>
          <w:tab w:val="num" w:pos="6480"/>
        </w:tabs>
        <w:ind w:left="6480" w:hanging="360"/>
      </w:pPr>
      <w:rPr>
        <w:rFonts w:ascii="Verdana" w:hAnsi="Verdana" w:hint="default"/>
      </w:rPr>
    </w:lvl>
  </w:abstractNum>
  <w:abstractNum w:abstractNumId="10">
    <w:nsid w:val="6DE95400"/>
    <w:multiLevelType w:val="hybridMultilevel"/>
    <w:tmpl w:val="AB9C2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45154B"/>
    <w:multiLevelType w:val="hybridMultilevel"/>
    <w:tmpl w:val="2BD264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BF36F8B"/>
    <w:multiLevelType w:val="hybridMultilevel"/>
    <w:tmpl w:val="D51E9868"/>
    <w:lvl w:ilvl="0" w:tplc="552A99A2">
      <w:start w:val="1"/>
      <w:numFmt w:val="bullet"/>
      <w:lvlText w:val="◦"/>
      <w:lvlJc w:val="left"/>
      <w:pPr>
        <w:tabs>
          <w:tab w:val="num" w:pos="720"/>
        </w:tabs>
        <w:ind w:left="720" w:hanging="360"/>
      </w:pPr>
      <w:rPr>
        <w:rFonts w:ascii="Verdana" w:hAnsi="Verdana" w:hint="default"/>
      </w:rPr>
    </w:lvl>
    <w:lvl w:ilvl="1" w:tplc="5DD6365A">
      <w:start w:val="1"/>
      <w:numFmt w:val="bullet"/>
      <w:lvlText w:val="◦"/>
      <w:lvlJc w:val="left"/>
      <w:pPr>
        <w:tabs>
          <w:tab w:val="num" w:pos="1440"/>
        </w:tabs>
        <w:ind w:left="1440" w:hanging="360"/>
      </w:pPr>
      <w:rPr>
        <w:rFonts w:ascii="Verdana" w:hAnsi="Verdana" w:hint="default"/>
      </w:rPr>
    </w:lvl>
    <w:lvl w:ilvl="2" w:tplc="8E480780" w:tentative="1">
      <w:start w:val="1"/>
      <w:numFmt w:val="bullet"/>
      <w:lvlText w:val="◦"/>
      <w:lvlJc w:val="left"/>
      <w:pPr>
        <w:tabs>
          <w:tab w:val="num" w:pos="2160"/>
        </w:tabs>
        <w:ind w:left="2160" w:hanging="360"/>
      </w:pPr>
      <w:rPr>
        <w:rFonts w:ascii="Verdana" w:hAnsi="Verdana" w:hint="default"/>
      </w:rPr>
    </w:lvl>
    <w:lvl w:ilvl="3" w:tplc="315E32AA" w:tentative="1">
      <w:start w:val="1"/>
      <w:numFmt w:val="bullet"/>
      <w:lvlText w:val="◦"/>
      <w:lvlJc w:val="left"/>
      <w:pPr>
        <w:tabs>
          <w:tab w:val="num" w:pos="2880"/>
        </w:tabs>
        <w:ind w:left="2880" w:hanging="360"/>
      </w:pPr>
      <w:rPr>
        <w:rFonts w:ascii="Verdana" w:hAnsi="Verdana" w:hint="default"/>
      </w:rPr>
    </w:lvl>
    <w:lvl w:ilvl="4" w:tplc="1270CFEC" w:tentative="1">
      <w:start w:val="1"/>
      <w:numFmt w:val="bullet"/>
      <w:lvlText w:val="◦"/>
      <w:lvlJc w:val="left"/>
      <w:pPr>
        <w:tabs>
          <w:tab w:val="num" w:pos="3600"/>
        </w:tabs>
        <w:ind w:left="3600" w:hanging="360"/>
      </w:pPr>
      <w:rPr>
        <w:rFonts w:ascii="Verdana" w:hAnsi="Verdana" w:hint="default"/>
      </w:rPr>
    </w:lvl>
    <w:lvl w:ilvl="5" w:tplc="252A09A6" w:tentative="1">
      <w:start w:val="1"/>
      <w:numFmt w:val="bullet"/>
      <w:lvlText w:val="◦"/>
      <w:lvlJc w:val="left"/>
      <w:pPr>
        <w:tabs>
          <w:tab w:val="num" w:pos="4320"/>
        </w:tabs>
        <w:ind w:left="4320" w:hanging="360"/>
      </w:pPr>
      <w:rPr>
        <w:rFonts w:ascii="Verdana" w:hAnsi="Verdana" w:hint="default"/>
      </w:rPr>
    </w:lvl>
    <w:lvl w:ilvl="6" w:tplc="5EF8D9DC" w:tentative="1">
      <w:start w:val="1"/>
      <w:numFmt w:val="bullet"/>
      <w:lvlText w:val="◦"/>
      <w:lvlJc w:val="left"/>
      <w:pPr>
        <w:tabs>
          <w:tab w:val="num" w:pos="5040"/>
        </w:tabs>
        <w:ind w:left="5040" w:hanging="360"/>
      </w:pPr>
      <w:rPr>
        <w:rFonts w:ascii="Verdana" w:hAnsi="Verdana" w:hint="default"/>
      </w:rPr>
    </w:lvl>
    <w:lvl w:ilvl="7" w:tplc="53B81F06" w:tentative="1">
      <w:start w:val="1"/>
      <w:numFmt w:val="bullet"/>
      <w:lvlText w:val="◦"/>
      <w:lvlJc w:val="left"/>
      <w:pPr>
        <w:tabs>
          <w:tab w:val="num" w:pos="5760"/>
        </w:tabs>
        <w:ind w:left="5760" w:hanging="360"/>
      </w:pPr>
      <w:rPr>
        <w:rFonts w:ascii="Verdana" w:hAnsi="Verdana" w:hint="default"/>
      </w:rPr>
    </w:lvl>
    <w:lvl w:ilvl="8" w:tplc="A24267CA" w:tentative="1">
      <w:start w:val="1"/>
      <w:numFmt w:val="bullet"/>
      <w:lvlText w:val="◦"/>
      <w:lvlJc w:val="left"/>
      <w:pPr>
        <w:tabs>
          <w:tab w:val="num" w:pos="6480"/>
        </w:tabs>
        <w:ind w:left="6480" w:hanging="360"/>
      </w:pPr>
      <w:rPr>
        <w:rFonts w:ascii="Verdana" w:hAnsi="Verdana" w:hint="default"/>
      </w:rPr>
    </w:lvl>
  </w:abstractNum>
  <w:num w:numId="1">
    <w:abstractNumId w:val="0"/>
  </w:num>
  <w:num w:numId="2">
    <w:abstractNumId w:val="1"/>
  </w:num>
  <w:num w:numId="3">
    <w:abstractNumId w:val="3"/>
  </w:num>
  <w:num w:numId="4">
    <w:abstractNumId w:val="5"/>
  </w:num>
  <w:num w:numId="5">
    <w:abstractNumId w:val="12"/>
  </w:num>
  <w:num w:numId="6">
    <w:abstractNumId w:val="9"/>
  </w:num>
  <w:num w:numId="7">
    <w:abstractNumId w:val="6"/>
  </w:num>
  <w:num w:numId="8">
    <w:abstractNumId w:val="8"/>
  </w:num>
  <w:num w:numId="9">
    <w:abstractNumId w:val="10"/>
  </w:num>
  <w:num w:numId="10">
    <w:abstractNumId w:val="2"/>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2307"/>
    <w:rsid w:val="00027F70"/>
    <w:rsid w:val="00062898"/>
    <w:rsid w:val="000641F8"/>
    <w:rsid w:val="00096BA3"/>
    <w:rsid w:val="000D4900"/>
    <w:rsid w:val="000E0F40"/>
    <w:rsid w:val="00152EC1"/>
    <w:rsid w:val="00201375"/>
    <w:rsid w:val="00202B29"/>
    <w:rsid w:val="00224DAB"/>
    <w:rsid w:val="002321B4"/>
    <w:rsid w:val="00235191"/>
    <w:rsid w:val="00255A76"/>
    <w:rsid w:val="0029159A"/>
    <w:rsid w:val="00292C2D"/>
    <w:rsid w:val="002972D3"/>
    <w:rsid w:val="002D6DC9"/>
    <w:rsid w:val="0030132A"/>
    <w:rsid w:val="003308E0"/>
    <w:rsid w:val="00366354"/>
    <w:rsid w:val="003B6443"/>
    <w:rsid w:val="003D724F"/>
    <w:rsid w:val="003E449E"/>
    <w:rsid w:val="004412BF"/>
    <w:rsid w:val="00491C1B"/>
    <w:rsid w:val="004E6B87"/>
    <w:rsid w:val="005B5327"/>
    <w:rsid w:val="005E0343"/>
    <w:rsid w:val="005E6927"/>
    <w:rsid w:val="006625B4"/>
    <w:rsid w:val="0069744F"/>
    <w:rsid w:val="006E152F"/>
    <w:rsid w:val="006F7992"/>
    <w:rsid w:val="00726603"/>
    <w:rsid w:val="007332D9"/>
    <w:rsid w:val="00767396"/>
    <w:rsid w:val="00797E21"/>
    <w:rsid w:val="00840814"/>
    <w:rsid w:val="00864BFB"/>
    <w:rsid w:val="008E78AD"/>
    <w:rsid w:val="00910F16"/>
    <w:rsid w:val="009E54AE"/>
    <w:rsid w:val="00A10221"/>
    <w:rsid w:val="00A37946"/>
    <w:rsid w:val="00A618C2"/>
    <w:rsid w:val="00A81BFE"/>
    <w:rsid w:val="00A94E3E"/>
    <w:rsid w:val="00A9595D"/>
    <w:rsid w:val="00AB7D3F"/>
    <w:rsid w:val="00AC7FE6"/>
    <w:rsid w:val="00B15CEC"/>
    <w:rsid w:val="00B63C9E"/>
    <w:rsid w:val="00B906A1"/>
    <w:rsid w:val="00B95CDC"/>
    <w:rsid w:val="00BE68FF"/>
    <w:rsid w:val="00BF61E0"/>
    <w:rsid w:val="00BF7C6C"/>
    <w:rsid w:val="00C22B2C"/>
    <w:rsid w:val="00CB54A2"/>
    <w:rsid w:val="00CC7BC3"/>
    <w:rsid w:val="00CD0A16"/>
    <w:rsid w:val="00CF3729"/>
    <w:rsid w:val="00D15129"/>
    <w:rsid w:val="00DB7695"/>
    <w:rsid w:val="00DE7339"/>
    <w:rsid w:val="00E36282"/>
    <w:rsid w:val="00E3760A"/>
    <w:rsid w:val="00EC2307"/>
    <w:rsid w:val="00F150C2"/>
    <w:rsid w:val="00F30E44"/>
    <w:rsid w:val="00FA14A6"/>
    <w:rsid w:val="00FB1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10F16"/>
    <w:pPr>
      <w:autoSpaceDE w:val="0"/>
      <w:autoSpaceDN w:val="0"/>
      <w:adjustRightInd w:val="0"/>
    </w:pPr>
    <w:rPr>
      <w:color w:val="000000"/>
      <w:sz w:val="24"/>
      <w:szCs w:val="24"/>
    </w:rPr>
  </w:style>
  <w:style w:type="character" w:styleId="Hyperlink">
    <w:name w:val="Hyperlink"/>
    <w:basedOn w:val="DefaultParagraphFont"/>
    <w:rsid w:val="00910F16"/>
    <w:rPr>
      <w:color w:val="0000FF"/>
      <w:u w:val="single"/>
    </w:rPr>
  </w:style>
  <w:style w:type="character" w:styleId="FollowedHyperlink">
    <w:name w:val="FollowedHyperlink"/>
    <w:basedOn w:val="DefaultParagraphFont"/>
    <w:rsid w:val="003D724F"/>
    <w:rPr>
      <w:color w:val="800080"/>
      <w:u w:val="single"/>
    </w:rPr>
  </w:style>
  <w:style w:type="paragraph" w:styleId="ListParagraph">
    <w:name w:val="List Paragraph"/>
    <w:basedOn w:val="Normal"/>
    <w:uiPriority w:val="34"/>
    <w:qFormat/>
    <w:rsid w:val="00202B29"/>
    <w:pPr>
      <w:ind w:left="720"/>
    </w:pPr>
  </w:style>
  <w:style w:type="character" w:styleId="CommentReference">
    <w:name w:val="annotation reference"/>
    <w:rsid w:val="00062898"/>
    <w:rPr>
      <w:sz w:val="16"/>
      <w:szCs w:val="16"/>
    </w:rPr>
  </w:style>
  <w:style w:type="paragraph" w:styleId="CommentText">
    <w:name w:val="annotation text"/>
    <w:basedOn w:val="Normal"/>
    <w:link w:val="CommentTextChar"/>
    <w:rsid w:val="00062898"/>
    <w:rPr>
      <w:rFonts w:ascii="Arial" w:hAnsi="Arial"/>
      <w:sz w:val="20"/>
      <w:szCs w:val="20"/>
    </w:rPr>
  </w:style>
  <w:style w:type="character" w:customStyle="1" w:styleId="CommentTextChar">
    <w:name w:val="Comment Text Char"/>
    <w:basedOn w:val="DefaultParagraphFont"/>
    <w:link w:val="CommentText"/>
    <w:rsid w:val="00062898"/>
    <w:rPr>
      <w:rFonts w:ascii="Arial" w:hAnsi="Arial"/>
    </w:rPr>
  </w:style>
  <w:style w:type="paragraph" w:styleId="BalloonText">
    <w:name w:val="Balloon Text"/>
    <w:basedOn w:val="Normal"/>
    <w:link w:val="BalloonTextChar"/>
    <w:rsid w:val="00062898"/>
    <w:rPr>
      <w:rFonts w:ascii="Tahoma" w:hAnsi="Tahoma" w:cs="Tahoma"/>
      <w:sz w:val="16"/>
      <w:szCs w:val="16"/>
    </w:rPr>
  </w:style>
  <w:style w:type="character" w:customStyle="1" w:styleId="BalloonTextChar">
    <w:name w:val="Balloon Text Char"/>
    <w:basedOn w:val="DefaultParagraphFont"/>
    <w:link w:val="BalloonText"/>
    <w:rsid w:val="00062898"/>
    <w:rPr>
      <w:rFonts w:ascii="Tahoma" w:hAnsi="Tahoma" w:cs="Tahoma"/>
      <w:sz w:val="16"/>
      <w:szCs w:val="16"/>
    </w:rPr>
  </w:style>
  <w:style w:type="paragraph" w:styleId="PlainText">
    <w:name w:val="Plain Text"/>
    <w:basedOn w:val="Normal"/>
    <w:link w:val="PlainTextChar"/>
    <w:uiPriority w:val="99"/>
    <w:unhideWhenUsed/>
    <w:rsid w:val="00027F70"/>
    <w:rPr>
      <w:rFonts w:ascii="Consolas" w:eastAsia="Calibri" w:hAnsi="Consolas"/>
      <w:sz w:val="21"/>
      <w:szCs w:val="21"/>
    </w:rPr>
  </w:style>
  <w:style w:type="character" w:customStyle="1" w:styleId="PlainTextChar">
    <w:name w:val="Plain Text Char"/>
    <w:basedOn w:val="DefaultParagraphFont"/>
    <w:link w:val="PlainText"/>
    <w:uiPriority w:val="99"/>
    <w:rsid w:val="00027F70"/>
    <w:rPr>
      <w:rFonts w:ascii="Consolas" w:eastAsia="Calibri"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sac.ca.gov/doc.asp?ID=144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3</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UPDATE: SB 1382 (Committee on Veterans Affairs) Student financial aid: Cal Grant Program: methodology ihas been signed into law by the Governor</vt:lpstr>
    </vt:vector>
  </TitlesOfParts>
  <Company>CSAC</Company>
  <LinksUpToDate>false</LinksUpToDate>
  <CharactersWithSpaces>3430</CharactersWithSpaces>
  <SharedDoc>false</SharedDoc>
  <HLinks>
    <vt:vector size="6" baseType="variant">
      <vt:variant>
        <vt:i4>3342447</vt:i4>
      </vt:variant>
      <vt:variant>
        <vt:i4>0</vt:i4>
      </vt:variant>
      <vt:variant>
        <vt:i4>0</vt:i4>
      </vt:variant>
      <vt:variant>
        <vt:i4>5</vt:i4>
      </vt:variant>
      <vt:variant>
        <vt:lpwstr>http://cbs13.com/search?searchstring=edfund&amp;tabid=0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SB 1382 (Committee on Veterans Affairs) Student financial aid: Cal Grant Program: methodology ihas been signed into law by the Governor</dc:title>
  <dc:creator>Bryan Dickason</dc:creator>
  <cp:lastModifiedBy>bryand</cp:lastModifiedBy>
  <cp:revision>7</cp:revision>
  <dcterms:created xsi:type="dcterms:W3CDTF">2013-04-29T17:53:00Z</dcterms:created>
  <dcterms:modified xsi:type="dcterms:W3CDTF">2013-05-02T16:38:00Z</dcterms:modified>
</cp:coreProperties>
</file>